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E1" w:rsidRPr="00A3075F" w:rsidRDefault="00550D65" w:rsidP="00216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93428" w:rsidRPr="00A3075F" w:rsidRDefault="00693428" w:rsidP="0021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="00300AFE"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proofErr w:type="spellEnd"/>
      <w:r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6D8"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46C86"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A3075F"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067BCB" w:rsidRDefault="00693428" w:rsidP="0026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93428" w:rsidRPr="00A3075F" w:rsidRDefault="00F00562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A3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A3075F" w:rsidRDefault="00F00562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75F" w:rsidRPr="00A3075F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="00A3075F" w:rsidRPr="00A3075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="00A3075F" w:rsidRPr="00A307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075F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proofErr w:type="gramEnd"/>
      <w:r w:rsidR="00A3075F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приказа контрольно-счетной палаты Ханты-Мансийского района от 27.12.2021 № 49                           «Об утверждении плана работы контрольно-счетной палаты                            Ханты-Мансийского района на 2022 год» и</w:t>
      </w:r>
      <w:r w:rsidR="00693428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="009E3D45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300AFE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муниципального финансового контроля</w:t>
      </w:r>
      <w:r w:rsidR="009E3D45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от </w:t>
      </w:r>
      <w:r w:rsidR="00A3075F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</w:t>
      </w:r>
      <w:r w:rsidR="00693428" w:rsidRPr="00A30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880D1F" w:rsidRDefault="00C20E87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101C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материалам, представленн</w:t>
      </w:r>
      <w:r w:rsidR="00DB101C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финансово-экономическим </w:t>
      </w:r>
      <w:r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300AFE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AFB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28" w:rsidRPr="00880D1F" w:rsidRDefault="00F00562" w:rsidP="002609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D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880D1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880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880D1F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300AFE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880D1F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880D1F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300AFE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="00CB3D1E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880D1F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880D1F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880D1F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300AFE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</w:t>
      </w:r>
      <w:r w:rsidR="00324AFB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067BCB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880D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88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880D1F" w:rsidRDefault="009F4D45" w:rsidP="002609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D1E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80D1F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CB3D1E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C76" w:rsidRPr="00284C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B3D1E" w:rsidRPr="002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3" w:rsidRPr="002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3D1E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8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8A61E4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8A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8A61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485DE4" w:rsidRPr="008A61E4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DE4"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                в сельском поселении </w:t>
      </w:r>
      <w:r w:rsidR="00700343"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485DE4"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91" w:rsidRPr="008A61E4" w:rsidRDefault="00495F91" w:rsidP="00495F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61E4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485DE4" w:rsidRPr="008A61E4" w:rsidRDefault="00485DE4" w:rsidP="0026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CF1E31" w:rsidRPr="008A61E4" w:rsidRDefault="0061797B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отч</w:t>
      </w:r>
      <w:r w:rsidR="007E6824"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об исполнении местного бюджета</w:t>
      </w:r>
      <w:r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статьей 11 решения Совета депутатов сельского поселения Горноправдинск от 27.05.2015 № 68 «Об утверждении </w:t>
      </w:r>
      <w:r w:rsidR="0027253C" w:rsidRPr="008A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                        об отдельных вопросах организации и осуществления бюджетного процесса в сельском поселении Горноправдинск» (далее – Положение о бюджетном процессе) «не позднее 01 апреля текущего года», соблюден.</w:t>
      </w:r>
    </w:p>
    <w:p w:rsidR="00CF1E31" w:rsidRPr="008A61E4" w:rsidRDefault="0027253C" w:rsidP="00CF1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E4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264.5. Бюджетного кодекса Российской Федерации порядок представления, рассмотрения </w:t>
      </w:r>
      <w:r w:rsidR="00DB101C" w:rsidRPr="008A61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61E4">
        <w:rPr>
          <w:rFonts w:ascii="Times New Roman" w:hAnsi="Times New Roman" w:cs="Times New Roman"/>
          <w:sz w:val="28"/>
          <w:szCs w:val="28"/>
        </w:rPr>
        <w:t xml:space="preserve">и утверждения годового отчета об исполнении бюджета устанавливается соответствующим законодательным (представительным) органом </w:t>
      </w:r>
      <w:r w:rsidR="00DB101C" w:rsidRPr="008A61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61E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359FE" w:rsidRPr="008A61E4">
        <w:rPr>
          <w:rFonts w:ascii="Times New Roman" w:hAnsi="Times New Roman" w:cs="Times New Roman"/>
          <w:sz w:val="28"/>
          <w:szCs w:val="28"/>
        </w:rPr>
        <w:t>Б</w:t>
      </w:r>
      <w:r w:rsidR="00631136" w:rsidRPr="008A61E4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2359FE" w:rsidRPr="008A61E4">
        <w:rPr>
          <w:rFonts w:ascii="Times New Roman" w:hAnsi="Times New Roman" w:cs="Times New Roman"/>
          <w:sz w:val="28"/>
          <w:szCs w:val="28"/>
        </w:rPr>
        <w:t xml:space="preserve"> РФ</w:t>
      </w:r>
      <w:r w:rsidRPr="008A61E4">
        <w:rPr>
          <w:rFonts w:ascii="Times New Roman" w:hAnsi="Times New Roman" w:cs="Times New Roman"/>
          <w:sz w:val="28"/>
          <w:szCs w:val="28"/>
        </w:rPr>
        <w:t>.</w:t>
      </w:r>
    </w:p>
    <w:p w:rsidR="00CF1E31" w:rsidRPr="008A61E4" w:rsidRDefault="008A61E4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E4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решение Совета депутатов сельского поселения </w:t>
      </w:r>
      <w:proofErr w:type="spellStart"/>
      <w:r w:rsidRPr="008A61E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A61E4">
        <w:rPr>
          <w:rFonts w:ascii="Times New Roman" w:hAnsi="Times New Roman" w:cs="Times New Roman"/>
          <w:sz w:val="28"/>
          <w:szCs w:val="28"/>
        </w:rPr>
        <w:t xml:space="preserve"> от 11.11.2021 № 126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61E4"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Pr="008A61E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A61E4">
        <w:rPr>
          <w:rFonts w:ascii="Times New Roman" w:hAnsi="Times New Roman" w:cs="Times New Roman"/>
          <w:sz w:val="28"/>
          <w:szCs w:val="28"/>
        </w:rPr>
        <w:t>.</w:t>
      </w:r>
    </w:p>
    <w:p w:rsidR="00CF1E31" w:rsidRPr="00EA21CF" w:rsidRDefault="00631136" w:rsidP="00E42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CF">
        <w:rPr>
          <w:rFonts w:ascii="Times New Roman" w:hAnsi="Times New Roman" w:cs="Times New Roman"/>
          <w:bCs/>
          <w:sz w:val="28"/>
          <w:szCs w:val="28"/>
        </w:rPr>
        <w:t>Статьей 264.6. Бюджетного кодекса РФ</w:t>
      </w:r>
      <w:r w:rsidR="000F2A68" w:rsidRPr="00EA21CF">
        <w:rPr>
          <w:rFonts w:ascii="Times New Roman" w:hAnsi="Times New Roman" w:cs="Times New Roman"/>
          <w:bCs/>
          <w:sz w:val="28"/>
          <w:szCs w:val="28"/>
        </w:rPr>
        <w:t xml:space="preserve"> определено</w:t>
      </w:r>
      <w:r w:rsidRPr="00EA21CF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33573" w:rsidRPr="00EA21C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D7143" w:rsidRPr="00EA21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3573" w:rsidRPr="00EA21CF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 год утверждается</w:t>
      </w:r>
      <w:r w:rsidR="00C33573" w:rsidRPr="00EA21CF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EA21CF">
        <w:rPr>
          <w:rFonts w:ascii="Times New Roman" w:hAnsi="Times New Roman" w:cs="Times New Roman"/>
          <w:sz w:val="28"/>
          <w:szCs w:val="28"/>
        </w:rPr>
        <w:t>аконом (</w:t>
      </w:r>
      <w:r w:rsidR="00C33573" w:rsidRPr="00EA21CF">
        <w:rPr>
          <w:rFonts w:ascii="Times New Roman" w:hAnsi="Times New Roman" w:cs="Times New Roman"/>
          <w:sz w:val="28"/>
          <w:szCs w:val="28"/>
        </w:rPr>
        <w:t>решением) об исполнении бюджета</w:t>
      </w:r>
      <w:r w:rsidR="00E422ED" w:rsidRPr="00EA21CF">
        <w:rPr>
          <w:rFonts w:ascii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бюджета, </w:t>
      </w:r>
      <w:r w:rsidR="00C33573" w:rsidRPr="00EA21CF">
        <w:rPr>
          <w:rFonts w:ascii="Times New Roman" w:hAnsi="Times New Roman" w:cs="Times New Roman"/>
          <w:sz w:val="28"/>
          <w:szCs w:val="28"/>
        </w:rPr>
        <w:t>о</w:t>
      </w:r>
      <w:r w:rsidRPr="00EA21CF">
        <w:rPr>
          <w:rFonts w:ascii="Times New Roman" w:hAnsi="Times New Roman" w:cs="Times New Roman"/>
          <w:sz w:val="28"/>
          <w:szCs w:val="28"/>
        </w:rPr>
        <w:t>тдельными приложениями</w:t>
      </w:r>
      <w:r w:rsidR="001D7143" w:rsidRPr="00EA21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21CF">
        <w:rPr>
          <w:rFonts w:ascii="Times New Roman" w:hAnsi="Times New Roman" w:cs="Times New Roman"/>
          <w:sz w:val="28"/>
          <w:szCs w:val="28"/>
        </w:rPr>
        <w:t xml:space="preserve">к </w:t>
      </w:r>
      <w:r w:rsidR="00C33573" w:rsidRPr="00EA21CF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EA21CF">
        <w:rPr>
          <w:rFonts w:ascii="Times New Roman" w:hAnsi="Times New Roman" w:cs="Times New Roman"/>
          <w:sz w:val="28"/>
          <w:szCs w:val="28"/>
        </w:rPr>
        <w:t>утверждаются показатели:</w:t>
      </w:r>
    </w:p>
    <w:p w:rsidR="00CF1E31" w:rsidRPr="00EA21CF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CF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CF1E31" w:rsidRPr="00EA21CF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CF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F1E31" w:rsidRPr="00EA21CF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CF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31136" w:rsidRPr="00EA21CF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C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EA21CF">
        <w:rPr>
          <w:rFonts w:ascii="Times New Roman" w:hAnsi="Times New Roman" w:cs="Times New Roman"/>
          <w:sz w:val="28"/>
          <w:szCs w:val="28"/>
        </w:rPr>
        <w:t>классификации источников фи</w:t>
      </w:r>
      <w:r w:rsidR="00C33573" w:rsidRPr="00EA21CF">
        <w:rPr>
          <w:rFonts w:ascii="Times New Roman" w:hAnsi="Times New Roman" w:cs="Times New Roman"/>
          <w:sz w:val="28"/>
          <w:szCs w:val="28"/>
        </w:rPr>
        <w:t>нансирования дефицитов бюджетов</w:t>
      </w:r>
      <w:proofErr w:type="gramEnd"/>
      <w:r w:rsidR="00C33573" w:rsidRPr="00EA21CF">
        <w:rPr>
          <w:rFonts w:ascii="Times New Roman" w:hAnsi="Times New Roman" w:cs="Times New Roman"/>
          <w:sz w:val="28"/>
          <w:szCs w:val="28"/>
        </w:rPr>
        <w:t>.</w:t>
      </w:r>
    </w:p>
    <w:p w:rsidR="0048162A" w:rsidRPr="00EA21CF" w:rsidRDefault="00C33573" w:rsidP="00481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1CF">
        <w:rPr>
          <w:rFonts w:ascii="Times New Roman" w:hAnsi="Times New Roman" w:cs="Times New Roman"/>
          <w:sz w:val="28"/>
          <w:szCs w:val="28"/>
        </w:rPr>
        <w:tab/>
      </w:r>
      <w:r w:rsidR="004A5B3D" w:rsidRPr="00EA21CF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</w:t>
      </w:r>
      <w:r w:rsidR="0048162A" w:rsidRPr="00EA21CF">
        <w:rPr>
          <w:rFonts w:ascii="Times New Roman" w:hAnsi="Times New Roman" w:cs="Times New Roman"/>
          <w:sz w:val="28"/>
          <w:szCs w:val="28"/>
        </w:rPr>
        <w:t>решения) об исполнении бюджета.</w:t>
      </w:r>
    </w:p>
    <w:p w:rsidR="00C33573" w:rsidRPr="00EA21CF" w:rsidRDefault="004A5B3D" w:rsidP="004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CF">
        <w:rPr>
          <w:rFonts w:ascii="Times New Roman" w:hAnsi="Times New Roman" w:cs="Times New Roman"/>
          <w:sz w:val="28"/>
          <w:szCs w:val="28"/>
        </w:rPr>
        <w:t>В рамках экспертно-аналитического</w:t>
      </w:r>
      <w:r w:rsidR="00C33573" w:rsidRPr="00EA21C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A21CF">
        <w:rPr>
          <w:rFonts w:ascii="Times New Roman" w:hAnsi="Times New Roman" w:cs="Times New Roman"/>
          <w:sz w:val="28"/>
          <w:szCs w:val="28"/>
        </w:rPr>
        <w:t>я</w:t>
      </w:r>
      <w:r w:rsidR="00C33573" w:rsidRPr="00EA21C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50709" w:rsidRPr="00EA21CF">
        <w:rPr>
          <w:rFonts w:ascii="Times New Roman" w:hAnsi="Times New Roman" w:cs="Times New Roman"/>
          <w:sz w:val="28"/>
          <w:szCs w:val="28"/>
        </w:rPr>
        <w:t>,</w:t>
      </w:r>
      <w:r w:rsidR="00EA2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0709" w:rsidRPr="00EA21CF">
        <w:rPr>
          <w:rFonts w:ascii="Times New Roman" w:hAnsi="Times New Roman" w:cs="Times New Roman"/>
          <w:sz w:val="28"/>
          <w:szCs w:val="28"/>
        </w:rPr>
        <w:t xml:space="preserve"> что </w:t>
      </w:r>
      <w:r w:rsidR="00C33573" w:rsidRPr="00EA21CF">
        <w:rPr>
          <w:rFonts w:ascii="Times New Roman" w:hAnsi="Times New Roman" w:cs="Times New Roman"/>
          <w:sz w:val="28"/>
          <w:szCs w:val="28"/>
        </w:rPr>
        <w:t xml:space="preserve"> </w:t>
      </w:r>
      <w:r w:rsidR="00150709" w:rsidRPr="00EA21CF">
        <w:rPr>
          <w:rFonts w:ascii="Times New Roman" w:hAnsi="Times New Roman" w:cs="Times New Roman"/>
          <w:sz w:val="28"/>
          <w:szCs w:val="28"/>
        </w:rPr>
        <w:t>приложения к проекту решения Совета депутатов сельского поселения Горноправдинск «Об утверждении отчета об исполнении бюджета сельского поселения Горноправдинск за 202</w:t>
      </w:r>
      <w:r w:rsidR="00EA21CF" w:rsidRPr="00EA21CF">
        <w:rPr>
          <w:rFonts w:ascii="Times New Roman" w:hAnsi="Times New Roman" w:cs="Times New Roman"/>
          <w:sz w:val="28"/>
          <w:szCs w:val="28"/>
        </w:rPr>
        <w:t>1</w:t>
      </w:r>
      <w:r w:rsidR="00150709" w:rsidRPr="00EA21CF">
        <w:rPr>
          <w:rFonts w:ascii="Times New Roman" w:hAnsi="Times New Roman" w:cs="Times New Roman"/>
          <w:sz w:val="28"/>
          <w:szCs w:val="28"/>
        </w:rPr>
        <w:t xml:space="preserve"> год»</w:t>
      </w:r>
      <w:r w:rsidR="00150709" w:rsidRPr="00EA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B7" w:rsidRPr="00EA21CF">
        <w:rPr>
          <w:rFonts w:ascii="Times New Roman" w:hAnsi="Times New Roman" w:cs="Times New Roman"/>
          <w:bCs/>
          <w:sz w:val="28"/>
          <w:szCs w:val="28"/>
        </w:rPr>
        <w:t xml:space="preserve">(далее – проект решения об исполнении бюджета) </w:t>
      </w:r>
      <w:r w:rsidR="00150709" w:rsidRPr="00EA21CF">
        <w:rPr>
          <w:rFonts w:ascii="Times New Roman" w:hAnsi="Times New Roman" w:cs="Times New Roman"/>
          <w:sz w:val="28"/>
          <w:szCs w:val="28"/>
        </w:rPr>
        <w:t>соответствуют</w:t>
      </w:r>
      <w:r w:rsidR="00C33573" w:rsidRPr="00EA21CF">
        <w:rPr>
          <w:rFonts w:ascii="Times New Roman" w:hAnsi="Times New Roman" w:cs="Times New Roman"/>
          <w:sz w:val="28"/>
          <w:szCs w:val="28"/>
        </w:rPr>
        <w:t xml:space="preserve"> </w:t>
      </w:r>
      <w:r w:rsidR="00DB101C" w:rsidRPr="00EA21C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B101C" w:rsidRPr="00EA21CF">
        <w:rPr>
          <w:rFonts w:ascii="Times New Roman" w:hAnsi="Times New Roman" w:cs="Times New Roman"/>
          <w:bCs/>
          <w:sz w:val="28"/>
          <w:szCs w:val="28"/>
        </w:rPr>
        <w:t xml:space="preserve">статьи 264.6. </w:t>
      </w:r>
      <w:r w:rsidR="00DB101C" w:rsidRPr="00EA21CF">
        <w:rPr>
          <w:rFonts w:ascii="Times New Roman" w:hAnsi="Times New Roman" w:cs="Times New Roman"/>
          <w:bCs/>
          <w:sz w:val="28"/>
          <w:szCs w:val="28"/>
        </w:rPr>
        <w:lastRenderedPageBreak/>
        <w:t>Бюджетного кодекса РФ</w:t>
      </w:r>
      <w:r w:rsidR="00150709" w:rsidRPr="00EA21CF">
        <w:rPr>
          <w:rFonts w:ascii="Times New Roman" w:hAnsi="Times New Roman" w:cs="Times New Roman"/>
          <w:bCs/>
          <w:sz w:val="28"/>
          <w:szCs w:val="28"/>
        </w:rPr>
        <w:t>.</w:t>
      </w:r>
      <w:r w:rsidR="00E422ED" w:rsidRPr="00EA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B7" w:rsidRPr="00EA21CF">
        <w:rPr>
          <w:rFonts w:ascii="Times New Roman" w:hAnsi="Times New Roman" w:cs="Times New Roman"/>
          <w:bCs/>
          <w:sz w:val="28"/>
          <w:szCs w:val="28"/>
        </w:rPr>
        <w:t>Объем доходов и расходов</w:t>
      </w:r>
      <w:r w:rsidR="00627973" w:rsidRPr="00EA21CF">
        <w:rPr>
          <w:rFonts w:ascii="Times New Roman" w:hAnsi="Times New Roman" w:cs="Times New Roman"/>
          <w:bCs/>
          <w:sz w:val="28"/>
          <w:szCs w:val="28"/>
        </w:rPr>
        <w:t xml:space="preserve">, размер </w:t>
      </w:r>
      <w:r w:rsidR="00DD19AA">
        <w:rPr>
          <w:rFonts w:ascii="Times New Roman" w:hAnsi="Times New Roman" w:cs="Times New Roman"/>
          <w:bCs/>
          <w:sz w:val="28"/>
          <w:szCs w:val="28"/>
        </w:rPr>
        <w:t>де</w:t>
      </w:r>
      <w:r w:rsidR="00627973" w:rsidRPr="00EA21CF">
        <w:rPr>
          <w:rFonts w:ascii="Times New Roman" w:hAnsi="Times New Roman" w:cs="Times New Roman"/>
          <w:bCs/>
          <w:sz w:val="28"/>
          <w:szCs w:val="28"/>
        </w:rPr>
        <w:t xml:space="preserve">фицита </w:t>
      </w:r>
      <w:r w:rsidR="00EA21C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27973" w:rsidRPr="00EA21CF">
        <w:rPr>
          <w:rFonts w:ascii="Times New Roman" w:hAnsi="Times New Roman" w:cs="Times New Roman"/>
          <w:bCs/>
          <w:sz w:val="28"/>
          <w:szCs w:val="28"/>
        </w:rPr>
        <w:t>в проекте решения соответствую</w:t>
      </w:r>
      <w:r w:rsidR="00EF54B7" w:rsidRPr="00EA21CF">
        <w:rPr>
          <w:rFonts w:ascii="Times New Roman" w:hAnsi="Times New Roman" w:cs="Times New Roman"/>
          <w:bCs/>
          <w:sz w:val="28"/>
          <w:szCs w:val="28"/>
        </w:rPr>
        <w:t xml:space="preserve">т представленной </w:t>
      </w:r>
      <w:r w:rsidR="00E422ED" w:rsidRPr="00EA21CF">
        <w:rPr>
          <w:rFonts w:ascii="Times New Roman" w:hAnsi="Times New Roman" w:cs="Times New Roman"/>
          <w:bCs/>
          <w:sz w:val="28"/>
          <w:szCs w:val="28"/>
        </w:rPr>
        <w:t>отчетности</w:t>
      </w:r>
      <w:r w:rsidR="00EF54B7" w:rsidRPr="00EA21CF">
        <w:rPr>
          <w:rFonts w:ascii="Times New Roman" w:hAnsi="Times New Roman" w:cs="Times New Roman"/>
          <w:bCs/>
          <w:sz w:val="28"/>
          <w:szCs w:val="28"/>
        </w:rPr>
        <w:t>.</w:t>
      </w:r>
      <w:r w:rsidR="00E422ED" w:rsidRPr="00EA21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DE4" w:rsidRPr="00484948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700343" w:rsidRPr="00484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Горноправдинск</w:t>
      </w:r>
    </w:p>
    <w:p w:rsidR="00485DE4" w:rsidRPr="00496817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</w:t>
      </w: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00343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AA58C1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202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8C1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58C1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утверждены основные характеристики бю</w:t>
      </w:r>
      <w:r w:rsidR="00AA58C1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108 833,8</w:t>
      </w: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108 833,8</w:t>
      </w: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</w:t>
      </w:r>
      <w:r w:rsidR="00496817"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968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 тыс. рублей.</w:t>
      </w:r>
    </w:p>
    <w:p w:rsidR="00485DE4" w:rsidRPr="00DC659C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</w:t>
      </w:r>
      <w:r w:rsidR="00AA58C1"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01E"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36401E"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>39 267,2</w:t>
      </w:r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36401E"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>36,1</w:t>
      </w:r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36401E"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>148 101,0</w:t>
      </w:r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увеличился                              на </w:t>
      </w:r>
      <w:r w:rsidR="0036401E"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>54 732,5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>50,3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36401E"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>163 566,3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</w:t>
      </w:r>
      <w:r w:rsidR="005E1927"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B63B4"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                              </w:t>
      </w:r>
      <w:r w:rsidR="0036401E"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>15 465,3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85DE4" w:rsidRPr="00372E2B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</w:t>
      </w:r>
      <w:r w:rsidR="00F11C2F"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</w:t>
      </w:r>
      <w:r w:rsidR="00B678C3"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</w:t>
      </w:r>
      <w:r w:rsidR="003C7101"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628" w:rsidRPr="00903628">
        <w:rPr>
          <w:rFonts w:ascii="Times New Roman" w:hAnsi="Times New Roman" w:cs="Times New Roman"/>
          <w:color w:val="000000"/>
          <w:sz w:val="28"/>
          <w:szCs w:val="28"/>
        </w:rPr>
        <w:t>149 738,6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03628"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>101,1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уточненного плана; расходы исполнены в </w:t>
      </w:r>
      <w:r w:rsidR="003C7101"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3628" w:rsidRPr="00903628">
        <w:rPr>
          <w:rFonts w:ascii="Times New Roman" w:hAnsi="Times New Roman" w:cs="Times New Roman"/>
          <w:color w:val="000000"/>
          <w:sz w:val="28"/>
          <w:szCs w:val="28"/>
        </w:rPr>
        <w:t>152</w:t>
      </w:r>
      <w:r w:rsidR="009036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3628" w:rsidRPr="00903628">
        <w:rPr>
          <w:rFonts w:ascii="Times New Roman" w:hAnsi="Times New Roman" w:cs="Times New Roman"/>
          <w:color w:val="000000"/>
          <w:sz w:val="28"/>
          <w:szCs w:val="28"/>
        </w:rPr>
        <w:t>142,4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03628"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уточненного плана; в результате исполнения бюджета сельского поселения за 20</w:t>
      </w:r>
      <w:r w:rsidR="00F11C2F"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C2F"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сложился </w:t>
      </w:r>
      <w:r w:rsidR="00372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F11C2F"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37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  <w:lang w:eastAsia="ru-RU"/>
        </w:rPr>
        <w:t>2 403,8</w:t>
      </w:r>
      <w:r w:rsidRPr="0037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485DE4" w:rsidRPr="00A6060C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93428" w:rsidRPr="00A6060C" w:rsidRDefault="00693428" w:rsidP="0048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60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93428" w:rsidRPr="00A6060C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081"/>
        <w:gridCol w:w="1496"/>
        <w:gridCol w:w="990"/>
        <w:gridCol w:w="1126"/>
        <w:gridCol w:w="1124"/>
        <w:gridCol w:w="1100"/>
        <w:gridCol w:w="1093"/>
      </w:tblGrid>
      <w:tr w:rsidR="00693428" w:rsidRPr="00067BCB" w:rsidTr="000D2E7B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93428" w:rsidRPr="00067BCB" w:rsidTr="000D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A6060C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</w:t>
            </w:r>
            <w:r w:rsidR="00B777EC"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 решением Совета депутатов се</w:t>
            </w:r>
            <w:r w:rsidR="004824C4"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льского поселения</w:t>
            </w:r>
            <w:r w:rsidR="00B777EC"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</w:t>
            </w:r>
            <w:r w:rsidR="004824C4"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A6060C"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24.12.2020</w:t>
            </w:r>
            <w:r w:rsidR="00B7332D"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A6060C"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</w:t>
            </w:r>
            <w:r w:rsidR="00B7332D"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A6060C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A6060C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A6060C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A6060C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93428" w:rsidRPr="00067BCB" w:rsidTr="000D2E7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A6060C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606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D2E7B" w:rsidRPr="00067BCB" w:rsidTr="000D2E7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A6060C" w:rsidRDefault="000D2E7B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6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148 101,1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148 101,1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149 738,6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149 738,6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</w:t>
            </w:r>
          </w:p>
        </w:tc>
      </w:tr>
      <w:tr w:rsidR="000D2E7B" w:rsidRPr="00067BCB" w:rsidTr="000D2E7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A6060C" w:rsidRDefault="000D2E7B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6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163 566,3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163 566,3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152 142,4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152 142,4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</w:t>
            </w:r>
          </w:p>
        </w:tc>
      </w:tr>
      <w:tr w:rsidR="000D2E7B" w:rsidRPr="00067BCB" w:rsidTr="000D2E7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A6060C" w:rsidRDefault="000D2E7B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6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-15 465,2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-15 465,2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-2 403,8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-2 403,8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B" w:rsidRPr="000D2E7B" w:rsidRDefault="000D2E7B" w:rsidP="000D2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E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</w:tbl>
    <w:p w:rsidR="00693428" w:rsidRPr="00067BCB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3506AB" w:rsidRPr="00A61EA7" w:rsidRDefault="00693428" w:rsidP="00D63DA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61E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300AFE" w:rsidRPr="00A61E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A61E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A61EA7" w:rsidRDefault="00557C0A" w:rsidP="00D63D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сельск</w:t>
      </w:r>
      <w:r w:rsidR="007440CD"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по доходам </w:t>
      </w:r>
      <w:r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440CD"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A61EA7"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93428"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407E"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1EA7"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3428" w:rsidRPr="00A6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A61EA7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61EA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A61E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p w:rsidR="007C521E" w:rsidRPr="00A61EA7" w:rsidRDefault="007C521E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61EA7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1433"/>
        <w:gridCol w:w="910"/>
        <w:gridCol w:w="1052"/>
        <w:gridCol w:w="1052"/>
        <w:gridCol w:w="1052"/>
        <w:gridCol w:w="1052"/>
        <w:gridCol w:w="1052"/>
        <w:gridCol w:w="932"/>
        <w:gridCol w:w="694"/>
      </w:tblGrid>
      <w:tr w:rsidR="00A44898" w:rsidRPr="00067BCB" w:rsidTr="007B62F6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6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A61EA7"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BE5A86" w:rsidP="00A6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61EA7"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A44898"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6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</w:t>
            </w:r>
            <w:r w:rsidR="00D63DA4"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фак</w:t>
            </w:r>
            <w:r w:rsidR="00BE5A86"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 202</w:t>
            </w:r>
            <w:r w:rsidR="00A61EA7"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BE5A86"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года от </w:t>
            </w: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факта 20</w:t>
            </w:r>
            <w:r w:rsidR="00A61EA7"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Темп роста,%</w:t>
            </w:r>
          </w:p>
        </w:tc>
      </w:tr>
      <w:tr w:rsidR="00A44898" w:rsidRPr="00067BCB" w:rsidTr="007B62F6">
        <w:trPr>
          <w:trHeight w:val="2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Уточненный </w:t>
            </w: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план,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Исполнение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067BCB" w:rsidTr="007B62F6">
        <w:trPr>
          <w:trHeight w:val="81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067BCB" w:rsidTr="007B62F6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A61EA7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506F12" w:rsidRPr="00067BCB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F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sz w:val="16"/>
                <w:szCs w:val="16"/>
              </w:rPr>
              <w:t>ДОХОДЫ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145 577,1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148 101,1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149 738,6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4 161,5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102,9</w:t>
            </w:r>
          </w:p>
        </w:tc>
      </w:tr>
      <w:tr w:rsidR="00506F12" w:rsidRPr="00067BCB" w:rsidTr="005A331F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46 969,9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49 392,2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52 157,0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5 187,1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111,0</w:t>
            </w:r>
          </w:p>
        </w:tc>
      </w:tr>
      <w:tr w:rsidR="00506F12" w:rsidRPr="00067BCB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30 831,3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33 459,4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35 399,1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4 567,8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114,8</w:t>
            </w:r>
          </w:p>
        </w:tc>
      </w:tr>
      <w:tr w:rsidR="00506F12" w:rsidRPr="00067BCB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4 925,5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5 430,8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5 629,2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</w:t>
            </w:r>
          </w:p>
        </w:tc>
      </w:tr>
      <w:tr w:rsidR="00506F12" w:rsidRPr="00067BCB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21 345,6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23 418,1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2 072,5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109,7</w:t>
            </w:r>
          </w:p>
        </w:tc>
      </w:tr>
      <w:tr w:rsidR="00506F12" w:rsidRPr="00067BCB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1022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1022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</w:tr>
      <w:tr w:rsidR="00506F12" w:rsidRPr="00067BCB" w:rsidTr="005A331F">
        <w:trPr>
          <w:trHeight w:val="6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4 530,7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6 355,5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1 824,8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140,3</w:t>
            </w:r>
          </w:p>
        </w:tc>
      </w:tr>
      <w:tr w:rsidR="00506F12" w:rsidRPr="00067BCB" w:rsidTr="007B62F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-9,5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06F12" w:rsidRPr="00067BCB" w:rsidTr="005A331F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16 138,6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15 932,8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16 757,9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BA1B8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103,8</w:t>
            </w:r>
          </w:p>
        </w:tc>
      </w:tr>
      <w:tr w:rsidR="00506F12" w:rsidRPr="00067BCB" w:rsidTr="00C325C7">
        <w:trPr>
          <w:trHeight w:val="4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6 972,8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6 018,2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6 449,8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-523,0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  <w:tr w:rsidR="00506F12" w:rsidRPr="00067BCB" w:rsidTr="005A331F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8 801,4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9 552,5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9 946,0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1 144,6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113,0</w:t>
            </w:r>
          </w:p>
        </w:tc>
      </w:tr>
      <w:tr w:rsidR="00506F12" w:rsidRPr="00067BCB" w:rsidTr="005A331F">
        <w:trPr>
          <w:trHeight w:val="6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201,2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309,5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BA1B8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153,8</w:t>
            </w:r>
          </w:p>
        </w:tc>
      </w:tr>
      <w:tr w:rsidR="00506F12" w:rsidRPr="00067BCB" w:rsidTr="005A331F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Штрафы, санкции возмещения ущерба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163,2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E049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-110,6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</w:t>
            </w:r>
          </w:p>
        </w:tc>
      </w:tr>
      <w:tr w:rsidR="00506F12" w:rsidRPr="00067BCB" w:rsidTr="005A331F">
        <w:trPr>
          <w:trHeight w:val="3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поступления,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98 607,2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98 708,9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97 581,6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-1 025,6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99,0</w:t>
            </w:r>
          </w:p>
        </w:tc>
      </w:tr>
      <w:tr w:rsidR="00506F12" w:rsidRPr="00067BCB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68 182,2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68 659,9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68 659,9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</w:t>
            </w:r>
          </w:p>
        </w:tc>
      </w:tr>
      <w:tr w:rsidR="00506F12" w:rsidRPr="00067BCB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9 711,3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8 623,5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8 623,5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06F12" w:rsidRPr="00067BCB" w:rsidTr="005A331F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661,0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699,5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</w:tr>
      <w:tr w:rsidR="00506F12" w:rsidRPr="00067BCB" w:rsidTr="00AD5539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29 753,0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19 638,2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19 629,5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-10 123,5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</w:tr>
      <w:tr w:rsidR="00506F12" w:rsidRPr="00067BCB" w:rsidTr="00AD5539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безвозмездные поступления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06F12" w:rsidRPr="00067BCB" w:rsidTr="00AD5539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7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12" w:rsidRPr="00506F12" w:rsidRDefault="00506F12" w:rsidP="00506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F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A44898" w:rsidRPr="00067BCB" w:rsidRDefault="00A44898" w:rsidP="00F5275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2D220F" w:rsidRPr="00FC6E5F" w:rsidRDefault="002D220F" w:rsidP="00403FE6">
      <w:pPr>
        <w:tabs>
          <w:tab w:val="left" w:pos="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данным годового отчета бюджет посел</w:t>
      </w:r>
      <w:r w:rsidR="00AD5539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 доходам исполнен за 202</w:t>
      </w:r>
      <w:r w:rsidR="00FC6E5F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FC6E5F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149 738,6</w:t>
      </w: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FC6E5F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52 157,0</w:t>
      </w: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безвозмездные поступления в сумме </w:t>
      </w:r>
      <w:r w:rsidR="00FC6E5F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97 581,6</w:t>
      </w: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</w:t>
      </w:r>
      <w:r w:rsidR="00900B04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поселения исполнены на </w:t>
      </w:r>
      <w:r w:rsidR="00FC6E5F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101,1</w:t>
      </w: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</w:t>
      </w:r>
      <w:r w:rsidR="001055A6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FC6E5F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105,6</w:t>
      </w: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900B04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25639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FC6E5F"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C6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2D220F" w:rsidRPr="00403FE6" w:rsidRDefault="002D220F" w:rsidP="00403FE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403FE6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403FE6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увеличилось</w:t>
      </w:r>
      <w:r w:rsidR="00025639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403FE6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4 161,5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03FE6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2,9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при этом налоговые</w:t>
      </w:r>
      <w:r w:rsidR="00025639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и неналоговые доходы увеличились на </w:t>
      </w:r>
      <w:r w:rsidR="00403FE6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5 187,1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403FE6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11,0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у</w:t>
      </w:r>
      <w:r w:rsidR="00025639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меньшение </w:t>
      </w:r>
      <w:r w:rsidR="00C73DF0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03FE6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1 025,6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03FE6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  <w:r w:rsidR="007B66B8"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2D220F" w:rsidRPr="00B95657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BB75AB"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5639"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величилась </w:t>
      </w:r>
      <w:r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собственных доходов (с </w:t>
      </w:r>
      <w:r w:rsidR="00B95657"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32,3</w:t>
      </w:r>
      <w:r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B95657"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34,8</w:t>
      </w:r>
      <w:r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BB75AB"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5639"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меньшилась </w:t>
      </w:r>
      <w:r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B95657"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67,7</w:t>
      </w:r>
      <w:r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B95657"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65,2</w:t>
      </w:r>
      <w:r w:rsidRPr="00B9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2D220F" w:rsidRPr="00BA1B82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</w:t>
      </w:r>
      <w:r w:rsidR="005B52DA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A1B82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</w:t>
      </w:r>
      <w:r w:rsidR="00E66171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BA1B82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34,8</w:t>
      </w: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A1B82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52 157,0</w:t>
      </w: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 доля налоговых доходов </w:t>
      </w:r>
      <w:r w:rsidR="001055A6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составила </w:t>
      </w:r>
      <w:r w:rsidR="00BA1B82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23,6</w:t>
      </w: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A1B82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35 399,1</w:t>
      </w: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BA1B82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11,2</w:t>
      </w: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A1B82"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16 757,9</w:t>
      </w:r>
      <w:r w:rsidRPr="00BA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  <w:proofErr w:type="gramEnd"/>
    </w:p>
    <w:p w:rsidR="005507D1" w:rsidRPr="009D3031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Наибольший удельный вес </w:t>
      </w:r>
      <w:r w:rsidR="009D303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15,6</w:t>
      </w:r>
      <w:r w:rsidR="005507D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</w:t>
      </w:r>
      <w:r w:rsidR="004B5B92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ют налоги на прибыль, доходы – </w:t>
      </w:r>
      <w:r w:rsidR="009D303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23 418,1</w:t>
      </w:r>
      <w:r w:rsidR="005507D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</w:t>
      </w:r>
      <w:r w:rsidR="009D303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105,5</w:t>
      </w:r>
      <w:r w:rsidR="005507D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5507D1" w:rsidRPr="009D3031" w:rsidRDefault="005507D1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</w:t>
      </w:r>
      <w:r w:rsidR="004B5B92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 налогам на прибыль в 202</w:t>
      </w:r>
      <w:r w:rsidR="009D303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B5B92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у</w:t>
      </w:r>
      <w:r w:rsidR="004B5B92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величились </w:t>
      </w:r>
      <w:r w:rsidR="00B657C5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4B5B92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D303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2 072,5</w:t>
      </w:r>
      <w:r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9D303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9,7</w:t>
      </w:r>
      <w:r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B92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</w:t>
      </w:r>
      <w:r w:rsidR="009D3031"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D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507D1" w:rsidRPr="00102219" w:rsidRDefault="004B5B9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товары (акцизы) в 202</w:t>
      </w:r>
      <w:r w:rsidR="00102219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102219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="005507D1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на </w:t>
      </w:r>
      <w:r w:rsidR="00102219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703,7</w:t>
      </w:r>
      <w:r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102219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14,3</w:t>
      </w:r>
      <w:r w:rsidR="005507D1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</w:t>
      </w:r>
      <w:r w:rsidR="00102219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</w:t>
      </w:r>
      <w:r w:rsidR="001055A6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5507D1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</w:t>
      </w:r>
      <w:r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к плану составило </w:t>
      </w:r>
      <w:r w:rsidR="00102219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103,7</w:t>
      </w:r>
      <w:r w:rsidR="005507D1" w:rsidRPr="0010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5A2FBD" w:rsidRDefault="00C36EA0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совокупный доход в 20</w:t>
      </w:r>
      <w:r w:rsidR="004B5B92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5,8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193,3</w:t>
      </w:r>
      <w:r w:rsidR="004B5B92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уточненного плана</w:t>
      </w:r>
      <w:r w:rsidR="003B488C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</w:t>
      </w:r>
      <w:r w:rsidR="003B488C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B488C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снижение</w:t>
      </w:r>
      <w:r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23,7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4B6F37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80,3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5A2FBD" w:rsidRDefault="00DF364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имущество (налог на имущество физических лиц, земельный налог) в 20</w:t>
      </w:r>
      <w:r w:rsidR="003B488C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6 355,5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055A6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109,1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к аналогичному по</w:t>
      </w:r>
      <w:r w:rsidR="003B488C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казателю                    20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1 824,8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A2FBD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40,3</w:t>
      </w:r>
      <w:r w:rsidR="005507D1" w:rsidRPr="005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891E7E" w:rsidRDefault="00C77E6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 доходы в 20</w:t>
      </w:r>
      <w:r w:rsidR="003B488C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16 757,9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111,0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увеличение на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619,3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3,8</w:t>
      </w:r>
      <w:r w:rsidR="003B488C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5507D1" w:rsidRPr="00891E7E" w:rsidRDefault="005132B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Наибольший удельный вес в общем объеме доходов занимают доходы </w:t>
      </w:r>
      <w:r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292F45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продажи материальных и нематериальных активов</w:t>
      </w:r>
      <w:r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824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9 946,0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104,1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</w:t>
      </w:r>
      <w:r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данных доходов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D8A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1 144,6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13,0</w:t>
      </w:r>
      <w:r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07D1" w:rsidRPr="00891E7E" w:rsidRDefault="00A14E5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</w:t>
      </w:r>
      <w:r w:rsidR="005132BB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45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использования имущества, находящегося</w:t>
      </w:r>
      <w:r w:rsidR="0002448C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292F45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государственной и муниципальной собственности</w:t>
      </w:r>
      <w:r w:rsidR="00F20DAA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45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6 449,8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107,2</w:t>
      </w:r>
      <w:r w:rsidR="00292F45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F20DAA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</w:t>
      </w:r>
      <w:r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плана. </w:t>
      </w:r>
      <w:r w:rsidR="0002448C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700746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055A6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D8A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523,0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1E7E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="0002448C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5507D1" w:rsidRPr="0089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06AB" w:rsidRPr="00756908" w:rsidRDefault="006D092F" w:rsidP="0002448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оказания платных услуг (работ) и компе</w:t>
      </w:r>
      <w:r w:rsidR="0002448C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нсации затрат государства в 202</w:t>
      </w:r>
      <w:r w:rsidR="00756908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756908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309,5</w:t>
      </w:r>
      <w:r w:rsidR="005507D1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836383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5507D1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5507D1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="0002448C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756908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2448C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756908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201,2</w:t>
      </w:r>
      <w:r w:rsidR="0002448C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 отмечается увеличение на </w:t>
      </w:r>
      <w:r w:rsidR="00756908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108,3</w:t>
      </w:r>
      <w:r w:rsidR="003506AB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756908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53,8</w:t>
      </w:r>
      <w:r w:rsidR="003506AB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908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3506AB" w:rsidRPr="0075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448C" w:rsidRPr="00586C93" w:rsidRDefault="003506AB" w:rsidP="0002448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448C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Штрафы, санкции, возмещени</w:t>
      </w:r>
      <w:r w:rsidR="009F0D8A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2448C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ущерба поступили в бюджет в объеме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52,6</w:t>
      </w:r>
      <w:r w:rsidR="0002448C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100,0</w:t>
      </w:r>
      <w:r w:rsidR="009F0D8A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48C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уточненного плана. К аналогичному показа</w:t>
      </w:r>
      <w:r w:rsidR="00110CFF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телю 20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10CFF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снижение на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110,6</w:t>
      </w:r>
      <w:r w:rsidR="00110CFF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</w:t>
      </w:r>
      <w:r w:rsidR="0002448C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рублей или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67,8</w:t>
      </w:r>
      <w:r w:rsidR="009F0D8A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48C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5507D1" w:rsidRPr="00586C93" w:rsidRDefault="00F96DF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</w:t>
      </w:r>
      <w:r w:rsidR="0002448C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65,2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97 581,6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45,9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68 659,9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субсидий 5,8% или 8 623,5 тыс. рублей, 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субвенций </w:t>
      </w:r>
      <w:r w:rsidR="00110CFF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699,5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межбюджетных трансфертов составила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13,1</w:t>
      </w:r>
      <w:proofErr w:type="gramEnd"/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86C93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19 629,5</w:t>
      </w:r>
      <w:r w:rsidR="00110CFF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256979" w:rsidRPr="00586C93" w:rsidRDefault="00643CE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D220F" w:rsidRPr="00586C93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6C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700343" w:rsidRPr="00586C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586C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AE6993" w:rsidRPr="00CF6F6E" w:rsidRDefault="00B7094E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E6993" w:rsidRPr="0085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сравнении</w:t>
      </w:r>
      <w:r w:rsidR="004F2D5F" w:rsidRPr="0085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первоначальным бюджетом </w:t>
      </w:r>
      <w:r w:rsidR="004F2D5F" w:rsidRPr="0085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</w:t>
      </w:r>
      <w:r w:rsidR="005D50BD" w:rsidRPr="0085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2D5F" w:rsidRPr="008552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218" w:rsidRPr="00855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D5F" w:rsidRPr="0085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D50BD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2D5F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</w:t>
      </w:r>
      <w:r w:rsidR="00FC3C18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3A96">
        <w:rPr>
          <w:rFonts w:ascii="Times New Roman" w:eastAsia="Times New Roman" w:hAnsi="Times New Roman" w:cs="Times New Roman"/>
          <w:sz w:val="28"/>
          <w:szCs w:val="28"/>
          <w:lang w:eastAsia="ru-RU"/>
        </w:rPr>
        <w:t>50,3</w:t>
      </w:r>
      <w:r w:rsidR="00FC3C18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FC3A96">
        <w:rPr>
          <w:rFonts w:ascii="Times New Roman" w:eastAsia="Times New Roman" w:hAnsi="Times New Roman" w:cs="Times New Roman"/>
          <w:sz w:val="28"/>
          <w:szCs w:val="28"/>
          <w:lang w:eastAsia="ru-RU"/>
        </w:rPr>
        <w:t>54 732,5</w:t>
      </w:r>
      <w:r w:rsidR="004F2D5F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F2D5F" w:rsidRPr="00CF6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993" w:rsidRPr="00CF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AE6993" w:rsidRPr="00CF6F6E" w:rsidRDefault="00AE6993" w:rsidP="00AE699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F6F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9322" w:type="dxa"/>
        <w:tblLayout w:type="fixed"/>
        <w:tblLook w:val="04A0"/>
      </w:tblPr>
      <w:tblGrid>
        <w:gridCol w:w="3085"/>
        <w:gridCol w:w="2268"/>
        <w:gridCol w:w="1985"/>
        <w:gridCol w:w="992"/>
        <w:gridCol w:w="992"/>
      </w:tblGrid>
      <w:tr w:rsidR="00AE6993" w:rsidRPr="00CF6F6E" w:rsidTr="00855218">
        <w:trPr>
          <w:trHeight w:val="40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993" w:rsidRPr="00CF6F6E" w:rsidRDefault="00AE6993" w:rsidP="00CF6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CF6F6E"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CF6F6E"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24.12.2020</w:t>
            </w: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CF6F6E"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3" w:rsidRPr="00CF6F6E" w:rsidRDefault="00AE6993" w:rsidP="00CF6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CF6F6E"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от 28.12.202</w:t>
            </w:r>
            <w:r w:rsidR="00CF6F6E"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CF6F6E"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AE6993" w:rsidRPr="00CF6F6E" w:rsidTr="00855218">
        <w:trPr>
          <w:trHeight w:val="61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E6993" w:rsidRPr="00067BCB" w:rsidTr="00855218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F6F6E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91805" w:rsidRPr="00067BCB" w:rsidTr="00855218">
        <w:trPr>
          <w:trHeight w:val="4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31 288,5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-2 986,7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-9,5</w:t>
            </w:r>
          </w:p>
        </w:tc>
      </w:tr>
      <w:tr w:rsidR="00B91805" w:rsidRPr="00067BCB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</w:tr>
      <w:tr w:rsidR="00B91805" w:rsidRPr="00067BCB" w:rsidTr="00855218">
        <w:trPr>
          <w:trHeight w:val="5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-46,5</w:t>
            </w:r>
          </w:p>
        </w:tc>
      </w:tr>
      <w:tr w:rsidR="00B91805" w:rsidRPr="00067BCB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B91805" w:rsidRPr="00067BCB" w:rsidTr="00855218">
        <w:trPr>
          <w:trHeight w:val="4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19 185,2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38 665,6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</w:t>
            </w:r>
          </w:p>
        </w:tc>
      </w:tr>
      <w:tr w:rsidR="00B91805" w:rsidRPr="00067BCB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29 578,9</w:t>
            </w:r>
          </w:p>
        </w:tc>
      </w:tr>
      <w:tr w:rsidR="00B91805" w:rsidRPr="00067BCB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91805" w:rsidRPr="00067BCB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36 760,7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-0,5</w:t>
            </w:r>
          </w:p>
        </w:tc>
      </w:tr>
      <w:tr w:rsidR="00B91805" w:rsidRPr="00067BCB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91805" w:rsidRPr="00067BCB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91805" w:rsidRPr="00067BCB" w:rsidTr="00855218">
        <w:trPr>
          <w:trHeight w:val="2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-4,5</w:t>
            </w:r>
          </w:p>
        </w:tc>
      </w:tr>
      <w:tr w:rsidR="00B91805" w:rsidRPr="00067BCB" w:rsidTr="00855218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CF6F6E" w:rsidRDefault="00B91805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108 833,8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855218" w:rsidRDefault="00B91805" w:rsidP="008552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52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163 566,3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05" w:rsidRPr="00B91805" w:rsidRDefault="00B91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8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50,3</w:t>
            </w:r>
          </w:p>
        </w:tc>
      </w:tr>
    </w:tbl>
    <w:p w:rsidR="00AE6993" w:rsidRPr="00CF6F6E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E6993" w:rsidRPr="00EF1CFC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EF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</w:t>
      </w:r>
      <w:r w:rsidR="00DB5484" w:rsidRPr="00EF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сельского поселения </w:t>
      </w:r>
      <w:r w:rsidR="00DB5484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5484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DB5484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(первоначальный бюджет - 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 от </w:t>
      </w:r>
      <w:r w:rsidR="009E37E1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37E1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Горноправдинск</w:t>
      </w:r>
      <w:r w:rsidR="00DB5484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E37E1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E37E1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37E1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DB5484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                 с последующим оформлением 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B5484"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29.01.2021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29.03.2021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0BD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15.07.2021</w:t>
      </w:r>
      <w:r w:rsidR="00DB5484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09.09.2021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16.11.2021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CFC"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EF1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875" w:rsidRPr="00EF77D8" w:rsidRDefault="00B63875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отмечает, что частое внесение </w:t>
      </w:r>
      <w:r w:rsidR="00DB5484" w:rsidRPr="00EF7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изменений в решение о бюджете у</w:t>
      </w:r>
      <w:r w:rsidRPr="00EF7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 на низкое качество бюджетного планирования. </w:t>
      </w:r>
    </w:p>
    <w:p w:rsidR="00AE6993" w:rsidRPr="00EF77D8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217 Бюджетного кодекса Российской Федерации</w:t>
      </w:r>
      <w:r w:rsidR="00DB5484"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14  решения Совета депутатов сельского поселения от </w:t>
      </w:r>
      <w:r w:rsidR="00EF77D8"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</w:t>
      </w: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77D8"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Горноправдинск на 202</w:t>
      </w:r>
      <w:r w:rsidR="00EF77D8"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F77D8"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77D8"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5D50BD"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внесения в 202</w:t>
      </w:r>
      <w:r w:rsidR="00EF77D8"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AE6993" w:rsidRPr="004941E1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 202</w:t>
      </w:r>
      <w:r w:rsidR="00A66B23" w:rsidRPr="00667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расходы по 3 разделам:</w:t>
      </w:r>
    </w:p>
    <w:p w:rsidR="00AE6993" w:rsidRPr="004941E1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«Общегосударственные вопросы»  на </w:t>
      </w:r>
      <w:r w:rsidR="004941E1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2 986,7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941E1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DB5484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E6993" w:rsidRPr="004941E1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безопасность и правоохранительная деятельность»</w:t>
      </w:r>
      <w:r w:rsidR="00ED0FA2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41E1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204,5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</w:t>
      </w:r>
      <w:r w:rsidR="004941E1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AE6993" w:rsidRPr="006670C4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«Физическая культура и спорт» на </w:t>
      </w:r>
      <w:r w:rsidR="004941E1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150,6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941E1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DB5484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E6993" w:rsidRPr="007567FC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:rsidR="00AE6993" w:rsidRPr="004941E1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«Охрана окружающей среды» на 1 124,1 тыс. рублей;</w:t>
      </w:r>
    </w:p>
    <w:p w:rsidR="00AE6993" w:rsidRPr="004941E1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«Жилищно-коммунальное хозяйство» на </w:t>
      </w:r>
      <w:r w:rsidR="004941E1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38 665,6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941E1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или </w:t>
      </w:r>
      <w:r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3,0 раза</w:t>
      </w:r>
      <w:r w:rsidR="000B0ECC" w:rsidRPr="0049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993" w:rsidRPr="007567FC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1E1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на </w:t>
      </w:r>
      <w:r w:rsidR="007567FC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>16 855,7</w:t>
      </w:r>
      <w:r w:rsidR="004941E1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567FC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993" w:rsidRPr="007567FC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Первоначальным планом не были предусмотрены расходы </w:t>
      </w:r>
      <w:r w:rsidR="007567FC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7567FC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«Здравоохранение»</w:t>
      </w:r>
      <w:r w:rsidR="007567FC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- 162,7 тыс. рублей</w:t>
      </w:r>
      <w:r w:rsidR="000B0ECC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7FC" w:rsidRP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                         - 1 345,2 тыс. рублей</w:t>
      </w:r>
      <w:r w:rsidR="00756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993" w:rsidRPr="00B17527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«Социальная политика» в отчетном периоде объем расходов не корректировался и составил 389,3 тыс. рублей.</w:t>
      </w:r>
    </w:p>
    <w:p w:rsidR="00AE6993" w:rsidRPr="009A1D6A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Исполнение расходной части бюджета сельского поселения Горноправдинск в 202</w:t>
      </w:r>
      <w:r w:rsidR="009A1D6A" w:rsidRPr="009A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A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AE6993" w:rsidRPr="009A1D6A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A1D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/>
      </w:tblPr>
      <w:tblGrid>
        <w:gridCol w:w="2260"/>
        <w:gridCol w:w="1940"/>
        <w:gridCol w:w="1820"/>
        <w:gridCol w:w="1560"/>
        <w:gridCol w:w="1649"/>
      </w:tblGrid>
      <w:tr w:rsidR="00AE6993" w:rsidRPr="00067BCB" w:rsidTr="00AE6993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A1D6A" w:rsidRDefault="00AE6993" w:rsidP="009A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</w:t>
            </w:r>
            <w:r w:rsidR="009A1D6A"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A1D6A" w:rsidRDefault="00AE6993" w:rsidP="009A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9A1D6A"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E6993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A1D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1D6A" w:rsidRPr="00067BCB" w:rsidTr="00AE6993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28 301,8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-101,7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A1D6A" w:rsidRPr="00067BCB" w:rsidTr="00AE6993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33 795,7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33 555,4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9A1D6A" w:rsidRPr="00067BCB" w:rsidTr="00AE6993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57 850,8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-11 073,7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80,9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36 591,0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A1D6A" w:rsidRPr="00067BCB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163 566,3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152 142,4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-11 423,9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6A" w:rsidRPr="009A1D6A" w:rsidRDefault="009A1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1D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93,0</w:t>
            </w:r>
          </w:p>
        </w:tc>
      </w:tr>
    </w:tbl>
    <w:p w:rsidR="005D50BD" w:rsidRPr="004F2397" w:rsidRDefault="00AE6993" w:rsidP="00AE69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от 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Горноправдинск на 202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расходы бюджета на 202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163 566,3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составило 152 142,4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F2397"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Pr="004F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AE6993" w:rsidRPr="00996C93" w:rsidRDefault="00AE6993" w:rsidP="005D50B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996C93" w:rsidRPr="00996C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6C9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D0FA2" w:rsidRPr="00996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C93" w:rsidRPr="009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представлена в Таблице 5. </w:t>
      </w:r>
    </w:p>
    <w:p w:rsidR="00AE6993" w:rsidRPr="00996C93" w:rsidRDefault="00AE6993" w:rsidP="00AE699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6C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/>
      </w:tblPr>
      <w:tblGrid>
        <w:gridCol w:w="640"/>
        <w:gridCol w:w="2030"/>
        <w:gridCol w:w="1178"/>
        <w:gridCol w:w="999"/>
        <w:gridCol w:w="1092"/>
        <w:gridCol w:w="1178"/>
        <w:gridCol w:w="999"/>
        <w:gridCol w:w="1206"/>
        <w:gridCol w:w="236"/>
      </w:tblGrid>
      <w:tr w:rsidR="00AE6993" w:rsidRPr="00996C93" w:rsidTr="00AE6993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99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996C93"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99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996C93"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AE6993" w:rsidRPr="00996C93" w:rsidTr="00AE6993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99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</w:t>
            </w:r>
            <w:r w:rsid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99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AE69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996C93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28 849,6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996C93" w:rsidRPr="00067BCB" w:rsidTr="00AE6993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996C93" w:rsidRPr="00067BCB" w:rsidTr="00AE6993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33 555,4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54 201,7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996C93" w:rsidRPr="00067BCB" w:rsidTr="00AE6993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996C93" w:rsidRPr="00067BCB" w:rsidTr="00AE6993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96C9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141 744,7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152 142,4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406F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93" w:rsidRPr="00996C93" w:rsidRDefault="00996C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6C9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996C93" w:rsidRPr="00067BCB" w:rsidRDefault="00996C93" w:rsidP="00AE6993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</w:tr>
    </w:tbl>
    <w:p w:rsidR="00AE6993" w:rsidRPr="002F2892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2F2892"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2F2892"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892"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F2892"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>10 397,7</w:t>
      </w:r>
      <w:r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процент исполнения бюджета по расходам </w:t>
      </w:r>
      <w:r w:rsidR="00176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с 90,6% до 93,0%</w:t>
      </w:r>
      <w:r w:rsidRPr="002F2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993" w:rsidRPr="00C25710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разделы: жилищно-коммунальное хозяйство 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культура и кинематография 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24,1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27,0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25710"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C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AE6993" w:rsidRPr="00A706C0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</w:t>
      </w:r>
      <w:r w:rsidR="005D50BD"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A706C0"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28 200,1 </w:t>
      </w:r>
      <w:r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99,</w:t>
      </w:r>
      <w:r w:rsidR="00A706C0"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назначениям (в 20</w:t>
      </w:r>
      <w:r w:rsidR="00A706C0"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706C0"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>28 849,6</w:t>
      </w:r>
      <w:r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706C0"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Pr="00A7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AB6DEE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AB6DEE" w:rsidRPr="00AB6DEE">
        <w:rPr>
          <w:rFonts w:ascii="Times New Roman" w:eastAsia="Times New Roman" w:hAnsi="Times New Roman" w:cs="Times New Roman"/>
          <w:sz w:val="28"/>
          <w:szCs w:val="28"/>
          <w:lang w:eastAsia="ru-RU"/>
        </w:rPr>
        <w:t>28 200,1</w:t>
      </w:r>
      <w:r w:rsidRPr="00AB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3B3970" w:rsidRPr="00C12157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157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2 085,7</w:t>
      </w:r>
      <w:r w:rsidR="00CB4978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970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функционирование главы сельского поселения;</w:t>
      </w:r>
    </w:p>
    <w:p w:rsidR="00A709F9" w:rsidRPr="00C12157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12157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23 303,3</w:t>
      </w:r>
      <w:r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</w:t>
      </w:r>
      <w:r w:rsidR="00F86254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C12157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16 946,8</w:t>
      </w:r>
      <w:r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C12157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5 500,8</w:t>
      </w:r>
      <w:r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</w:t>
      </w:r>
      <w:r w:rsidR="00F86254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отнесенному к муниципальным служащим</w:t>
      </w:r>
      <w:r w:rsidR="00E005C6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324E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57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336 0</w:t>
      </w:r>
      <w:r w:rsidR="00F6324E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12157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324E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2157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 (расходы, осуществляемые за счет дотации                   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поселений))</w:t>
      </w:r>
      <w:r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86254" w:rsidRPr="00C1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End"/>
    </w:p>
    <w:p w:rsidR="003B3970" w:rsidRPr="0059465C" w:rsidRDefault="00E005C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65C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52,5</w:t>
      </w:r>
      <w:r w:rsidR="003B3970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4F616B" w:rsidRPr="001A402A" w:rsidRDefault="00F6324E" w:rsidP="005D5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9465C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2 758,6</w:t>
      </w:r>
      <w:r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</w:t>
      </w:r>
      <w:r w:rsidR="00A709F9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59465C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="00BF29B7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услуги связи; </w:t>
      </w:r>
      <w:r w:rsid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618,0</w:t>
      </w:r>
      <w:r w:rsidR="00F43694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B7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коммунальные услуги; </w:t>
      </w:r>
      <w:r w:rsidR="0059465C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295,4</w:t>
      </w:r>
      <w:r w:rsidR="00BF29B7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по содержанию имущества; </w:t>
      </w:r>
      <w:r w:rsidR="0059465C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774,1</w:t>
      </w:r>
      <w:r w:rsidR="00BF29B7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услуги; </w:t>
      </w:r>
      <w:r w:rsidR="0059465C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F43694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B7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="009B6148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страхование;</w:t>
      </w:r>
      <w:proofErr w:type="gramEnd"/>
      <w:r w:rsidR="009B6148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5C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799,2</w:t>
      </w:r>
      <w:r w:rsidR="009B6148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="00BF29B7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нефинансовых активов</w:t>
      </w:r>
      <w:r w:rsidR="00330414" w:rsidRPr="0059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02A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>83,0</w:t>
      </w:r>
      <w:r w:rsidR="00D03D19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F29B7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ED0FA2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F29B7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уплата </w:t>
      </w:r>
      <w:r w:rsidR="004F616B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налогов, сборов и иных платежей, </w:t>
      </w:r>
      <w:r w:rsidR="001A402A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>97,5</w:t>
      </w:r>
      <w:r w:rsidR="004F616B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</w:t>
      </w:r>
      <w:r w:rsidR="00ED0FA2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F616B" w:rsidRPr="001A40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услуги по содержанию имущества.</w:t>
      </w:r>
    </w:p>
    <w:p w:rsidR="00C90E87" w:rsidRPr="00E90296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90E87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700343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C90E87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5A3C60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>25 389,0</w:t>
      </w:r>
      <w:r w:rsidR="00C90E87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30414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>90,</w:t>
      </w:r>
      <w:r w:rsid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E87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</w:t>
      </w:r>
      <w:r w:rsidR="00330414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BD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0414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3C60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>28 200,1</w:t>
      </w:r>
      <w:r w:rsidR="00330414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C90E87" w:rsidRPr="005A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E87" w:rsidRPr="00A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также составляет </w:t>
      </w:r>
      <w:r w:rsidR="00A277A5" w:rsidRPr="00A277A5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C90E87" w:rsidRPr="00A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</w:t>
      </w:r>
      <w:r w:rsidR="00C90E87" w:rsidRPr="00A2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(</w:t>
      </w:r>
      <w:r w:rsidR="00A277A5" w:rsidRPr="00A277A5">
        <w:rPr>
          <w:rFonts w:ascii="Times New Roman" w:hAnsi="Times New Roman" w:cs="Times New Roman"/>
          <w:bCs/>
          <w:color w:val="000000"/>
          <w:sz w:val="28"/>
          <w:szCs w:val="28"/>
        </w:rPr>
        <w:t>152 142,4</w:t>
      </w:r>
      <w:r w:rsidR="00ED0FA2" w:rsidRPr="00A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D0FA2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E0CBE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остальных общегосударственных полномочий затрачено </w:t>
      </w:r>
      <w:r w:rsidR="00E90296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>2 811,1</w:t>
      </w:r>
      <w:r w:rsidR="00C90E87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3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90E87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86C4C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C90E87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</w:t>
      </w:r>
      <w:r w:rsidR="00486C4C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0296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>28 200,1</w:t>
      </w:r>
      <w:r w:rsidR="00486C4C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C90E87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8CE"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90E87" w:rsidRPr="00E86022" w:rsidRDefault="00C90E87" w:rsidP="00466E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Следует отметить, что затраты на функционирование главы сельского</w:t>
      </w:r>
      <w:r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00343"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в размере                          </w:t>
      </w:r>
      <w:r w:rsidR="00E86022"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>25 389,0</w:t>
      </w:r>
      <w:r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составля</w:t>
      </w:r>
      <w:r w:rsidR="00034F32"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86022"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>48,7</w:t>
      </w:r>
      <w:r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размера собственных доходов сельского поселения в 20</w:t>
      </w:r>
      <w:r w:rsidR="00486C4C"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022"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которые исполнены в объеме </w:t>
      </w:r>
      <w:r w:rsidR="00FE0CBE"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F048F"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22" w:rsidRPr="00E86022">
        <w:rPr>
          <w:rFonts w:ascii="Times New Roman" w:hAnsi="Times New Roman" w:cs="Times New Roman"/>
          <w:bCs/>
          <w:color w:val="000000"/>
          <w:sz w:val="28"/>
          <w:szCs w:val="28"/>
        </w:rPr>
        <w:t>52 157,0</w:t>
      </w:r>
      <w:r w:rsidRPr="00E8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66B23" w:rsidRPr="002C4DA1" w:rsidRDefault="00A66B23" w:rsidP="0046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</w:t>
      </w:r>
      <w:r w:rsidR="00AB6DEE">
        <w:rPr>
          <w:rFonts w:ascii="Times New Roman" w:hAnsi="Times New Roman" w:cs="Times New Roman"/>
          <w:sz w:val="28"/>
          <w:szCs w:val="28"/>
        </w:rPr>
        <w:t>28</w:t>
      </w:r>
      <w:r w:rsidR="004803DC">
        <w:rPr>
          <w:rFonts w:ascii="Times New Roman" w:hAnsi="Times New Roman" w:cs="Times New Roman"/>
          <w:sz w:val="28"/>
          <w:szCs w:val="28"/>
        </w:rPr>
        <w:t xml:space="preserve"> </w:t>
      </w:r>
      <w:r w:rsidR="00AB6DEE">
        <w:rPr>
          <w:rFonts w:ascii="Times New Roman" w:hAnsi="Times New Roman" w:cs="Times New Roman"/>
          <w:sz w:val="28"/>
          <w:szCs w:val="28"/>
        </w:rPr>
        <w:t>200,9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установленный распоряжением Правительства Ханты-Мансийского автономного округа – Югры от 14.08.2020 № 464-рп «О размерах нормативов формирования расходов на содержание органов  местного самоуправления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 Югры на 2021 год», соблюден.</w:t>
      </w:r>
      <w:proofErr w:type="gramEnd"/>
    </w:p>
    <w:p w:rsidR="00C90E87" w:rsidRPr="00304B40" w:rsidRDefault="00C90E87" w:rsidP="00466E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</w:t>
      </w:r>
      <w:r w:rsidR="00595B65"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B40"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>528,6</w:t>
      </w:r>
      <w:r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C4C"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</w:t>
      </w:r>
      <w:r w:rsidR="00304B40"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04B40"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>525,1</w:t>
      </w:r>
      <w:r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1DBD"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100,00 %).</w:t>
      </w:r>
    </w:p>
    <w:p w:rsidR="00C90E87" w:rsidRPr="00930945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</w:t>
      </w:r>
      <w:r w:rsidR="00595B65"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945"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>235,4</w:t>
      </w:r>
      <w:r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81DBD"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30945"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D82F78"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930945"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30945"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>176,2</w:t>
      </w:r>
      <w:r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30945"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93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D25B50" w:rsidRDefault="007B2D9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</w:t>
      </w:r>
      <w:r w:rsidR="00595B65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33 555,4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99,3</w:t>
      </w:r>
      <w:r w:rsidR="00D82F78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15 321,6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D25B50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</w:t>
      </w:r>
      <w:r w:rsidR="00595B65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46 777,1</w:t>
      </w:r>
      <w:r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80,9</w:t>
      </w:r>
      <w:r w:rsidR="00D82F78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–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54 201,7</w:t>
      </w:r>
      <w:r w:rsidR="00D82F78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="00D82F78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D25B50" w:rsidRDefault="00A72973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исполнены </w:t>
      </w:r>
      <w:r w:rsidR="007B2D9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5B65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1 127,8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DC5071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DC5071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</w:t>
      </w:r>
      <w:r w:rsidR="00DC5071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25B50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C90E87" w:rsidRPr="00D2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681A6C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07 00 «Образование» расходы исполнены в </w:t>
      </w:r>
      <w:r w:rsidR="00595B65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1 337,0</w:t>
      </w:r>
      <w:r w:rsidR="005512D1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5512D1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444,1</w:t>
      </w:r>
      <w:r w:rsidR="005512D1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95,8</w:t>
      </w:r>
      <w:r w:rsidR="005512D1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681A6C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</w:t>
      </w:r>
      <w:r w:rsidR="00595B65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36 591,0</w:t>
      </w: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D1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38 332,5</w:t>
      </w: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100,0 %).</w:t>
      </w:r>
    </w:p>
    <w:p w:rsidR="005512D1" w:rsidRPr="00681A6C" w:rsidRDefault="005512D1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09 00 «Здравоохранение» расходы исполнены на 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191,3</w:t>
      </w:r>
      <w:r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904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C5904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,0%</w:t>
      </w:r>
      <w:r w:rsidR="00681A6C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году – 159,5 тыс. рублей или 98,0 %)</w:t>
      </w:r>
      <w:r w:rsidR="002C5904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E8A" w:rsidRPr="006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E87" w:rsidRPr="00162F7A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2E435F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4E8A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="002E435F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8A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2019</w:t>
      </w: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</w:t>
      </w:r>
      <w:r w:rsidR="00162F7A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сумма и процент исполнения</w:t>
      </w: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Default="00C90E87" w:rsidP="007B2D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162F7A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3 209,4</w:t>
      </w: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04E8A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или 100,0 % (в 20</w:t>
      </w:r>
      <w:r w:rsidR="00162F7A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62F7A"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>3 339,0</w:t>
      </w: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100,0 %).</w:t>
      </w:r>
    </w:p>
    <w:p w:rsidR="007C334F" w:rsidRPr="007C334F" w:rsidRDefault="007C334F" w:rsidP="00CD3A17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7C334F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r w:rsidR="000324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334F">
        <w:rPr>
          <w:rFonts w:ascii="Times New Roman" w:hAnsi="Times New Roman" w:cs="Times New Roman"/>
          <w:sz w:val="28"/>
          <w:szCs w:val="28"/>
        </w:rPr>
        <w:t xml:space="preserve"> на постоянной основе, муниципальных служащих</w:t>
      </w:r>
      <w:proofErr w:type="gramEnd"/>
      <w:r w:rsidRPr="007C3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34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C334F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</w:t>
      </w:r>
      <w:r w:rsidR="000324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34F">
        <w:rPr>
          <w:rFonts w:ascii="Times New Roman" w:hAnsi="Times New Roman" w:cs="Times New Roman"/>
          <w:sz w:val="28"/>
          <w:szCs w:val="28"/>
        </w:rPr>
        <w:t xml:space="preserve"> № 278-п), а именно:</w:t>
      </w:r>
    </w:p>
    <w:p w:rsidR="00032456" w:rsidRPr="00D055B3" w:rsidRDefault="00CD3A17" w:rsidP="004803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334F" w:rsidRP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лиц, замещающих муниципальные должности (глава сельского поселения) на 2021 год сформирован – 1 464,3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C334F" w:rsidRP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превышает расчетный норматив согласно Постановлению </w:t>
      </w:r>
      <w:r w:rsidR="007C334F" w:rsidRPr="007C334F">
        <w:rPr>
          <w:rFonts w:ascii="Times New Roman" w:hAnsi="Times New Roman" w:cs="Times New Roman"/>
          <w:sz w:val="28"/>
          <w:szCs w:val="28"/>
        </w:rPr>
        <w:t xml:space="preserve">23.08.2019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334F" w:rsidRPr="007C334F">
        <w:rPr>
          <w:rFonts w:ascii="Times New Roman" w:hAnsi="Times New Roman" w:cs="Times New Roman"/>
          <w:sz w:val="28"/>
          <w:szCs w:val="28"/>
        </w:rPr>
        <w:t>№ 278-п</w:t>
      </w:r>
      <w:r w:rsidR="007C334F" w:rsidRP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</w:t>
      </w:r>
      <w:r w:rsidR="007C334F" w:rsidRPr="00D05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456" w:rsidRPr="00D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1 619,2 тыс. рублей, что выше установленного норматива на 154,9 тыс. рублей                             или 10,6 %.</w:t>
      </w:r>
    </w:p>
    <w:p w:rsidR="00032456" w:rsidRPr="00A67AF8" w:rsidRDefault="00032456" w:rsidP="004803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67AF8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</w:t>
      </w:r>
      <w:r w:rsidR="00D53FCA" w:rsidRPr="00A67A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7AF8">
        <w:rPr>
          <w:rFonts w:ascii="Times New Roman" w:hAnsi="Times New Roman" w:cs="Times New Roman"/>
          <w:sz w:val="28"/>
          <w:szCs w:val="28"/>
        </w:rPr>
        <w:t xml:space="preserve">что </w:t>
      </w:r>
      <w:r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сложилось в результате выплаты в 202</w:t>
      </w:r>
      <w:r w:rsidR="00A67AF8"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годовой премии за 20</w:t>
      </w:r>
      <w:r w:rsidR="00A67AF8"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67AF8"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7AF8"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начисление оплаты за работу в выходные                     и праздничные дни в двойном размере</w:t>
      </w:r>
      <w:r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34F" w:rsidRPr="007C334F" w:rsidRDefault="007C334F" w:rsidP="0048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13 100,0 тыс. рублей, что не превышает расчетный норматив согласно Постановлению </w:t>
      </w:r>
      <w:r w:rsidRPr="00A67AF8">
        <w:rPr>
          <w:rFonts w:ascii="Times New Roman" w:hAnsi="Times New Roman" w:cs="Times New Roman"/>
          <w:sz w:val="28"/>
          <w:szCs w:val="28"/>
        </w:rPr>
        <w:t>23.08.2019 № 278-п</w:t>
      </w:r>
      <w:r w:rsidRPr="00A6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AF8">
        <w:rPr>
          <w:rFonts w:ascii="Times New Roman" w:hAnsi="Times New Roman" w:cs="Times New Roman"/>
          <w:sz w:val="28"/>
          <w:szCs w:val="28"/>
        </w:rPr>
        <w:t>13 102</w:t>
      </w:r>
      <w:r w:rsidRPr="007C334F">
        <w:rPr>
          <w:rFonts w:ascii="Times New Roman" w:hAnsi="Times New Roman" w:cs="Times New Roman"/>
          <w:sz w:val="28"/>
          <w:szCs w:val="28"/>
        </w:rPr>
        <w:t>,7</w:t>
      </w:r>
      <w:r w:rsidRP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7C334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32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составило 13 090,3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соблюден.</w:t>
      </w:r>
    </w:p>
    <w:p w:rsidR="009D611B" w:rsidRPr="008A46BD" w:rsidRDefault="00C90E87" w:rsidP="00CD3A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2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11B" w:rsidRPr="008A46BD">
        <w:rPr>
          <w:rFonts w:ascii="Times New Roman" w:hAnsi="Times New Roman" w:cs="Times New Roman"/>
          <w:sz w:val="28"/>
        </w:rPr>
        <w:t xml:space="preserve">В соответствии с пунктом 1 статьи 2 Закона от 28.12.2007 № 201-оз, решением Совета депутатов сельского поселения </w:t>
      </w:r>
      <w:proofErr w:type="spellStart"/>
      <w:r w:rsidR="009D611B" w:rsidRPr="00034F66">
        <w:rPr>
          <w:rFonts w:ascii="Times New Roman" w:hAnsi="Times New Roman" w:cs="Times New Roman"/>
          <w:sz w:val="28"/>
        </w:rPr>
        <w:t>Горноправдинск</w:t>
      </w:r>
      <w:proofErr w:type="spellEnd"/>
      <w:r w:rsidR="009D611B">
        <w:rPr>
          <w:rFonts w:ascii="Times New Roman" w:hAnsi="Times New Roman" w:cs="Times New Roman"/>
          <w:sz w:val="28"/>
        </w:rPr>
        <w:t xml:space="preserve">                      </w:t>
      </w:r>
      <w:r w:rsidR="009D611B" w:rsidRPr="008A46BD">
        <w:rPr>
          <w:rFonts w:ascii="Times New Roman" w:hAnsi="Times New Roman" w:cs="Times New Roman"/>
          <w:sz w:val="28"/>
        </w:rPr>
        <w:t xml:space="preserve">от </w:t>
      </w:r>
      <w:r w:rsidR="009D611B">
        <w:rPr>
          <w:rFonts w:ascii="Times New Roman" w:hAnsi="Times New Roman" w:cs="Times New Roman"/>
          <w:sz w:val="28"/>
        </w:rPr>
        <w:t xml:space="preserve">21.04.2008 № 17 утверждено </w:t>
      </w:r>
      <w:r w:rsidR="009D611B" w:rsidRPr="008A46BD">
        <w:rPr>
          <w:rFonts w:ascii="Times New Roman" w:hAnsi="Times New Roman" w:cs="Times New Roman"/>
          <w:sz w:val="28"/>
        </w:rPr>
        <w:t>Положени</w:t>
      </w:r>
      <w:r w:rsidR="009D611B">
        <w:rPr>
          <w:rFonts w:ascii="Times New Roman" w:hAnsi="Times New Roman" w:cs="Times New Roman"/>
          <w:sz w:val="28"/>
        </w:rPr>
        <w:t>е</w:t>
      </w:r>
      <w:r w:rsidR="009D611B" w:rsidRPr="008A46BD">
        <w:rPr>
          <w:rFonts w:ascii="Times New Roman" w:hAnsi="Times New Roman" w:cs="Times New Roman"/>
          <w:sz w:val="28"/>
        </w:rPr>
        <w:t xml:space="preserve"> о денежном содержании лиц, замещающих муниципальные должности в органах местного самоуправления сельского поселения </w:t>
      </w:r>
      <w:proofErr w:type="spellStart"/>
      <w:r w:rsidR="009D611B" w:rsidRPr="008A46BD">
        <w:rPr>
          <w:rFonts w:ascii="Times New Roman" w:hAnsi="Times New Roman" w:cs="Times New Roman"/>
          <w:sz w:val="28"/>
        </w:rPr>
        <w:t>Горноправдинск</w:t>
      </w:r>
      <w:proofErr w:type="spellEnd"/>
      <w:r w:rsidR="009D611B">
        <w:rPr>
          <w:rFonts w:ascii="Times New Roman" w:hAnsi="Times New Roman" w:cs="Times New Roman"/>
          <w:sz w:val="28"/>
        </w:rPr>
        <w:t xml:space="preserve"> </w:t>
      </w:r>
      <w:r w:rsidR="009D611B" w:rsidRPr="008A46BD">
        <w:rPr>
          <w:rFonts w:ascii="Times New Roman" w:hAnsi="Times New Roman" w:cs="Times New Roman"/>
          <w:sz w:val="28"/>
        </w:rPr>
        <w:t>(актуальная редакция от 12.12.2019 № 52)</w:t>
      </w:r>
      <w:r w:rsidR="009D611B">
        <w:rPr>
          <w:rFonts w:ascii="Times New Roman" w:hAnsi="Times New Roman" w:cs="Times New Roman"/>
          <w:sz w:val="28"/>
        </w:rPr>
        <w:t xml:space="preserve"> </w:t>
      </w:r>
      <w:r w:rsidR="009D611B" w:rsidRPr="008A46BD">
        <w:rPr>
          <w:rFonts w:ascii="Times New Roman" w:hAnsi="Times New Roman" w:cs="Times New Roman"/>
          <w:sz w:val="28"/>
        </w:rPr>
        <w:t>(далее – Положение о денежном содержании, Положение).</w:t>
      </w:r>
    </w:p>
    <w:p w:rsidR="009D611B" w:rsidRDefault="009D611B" w:rsidP="009D6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83A3B">
        <w:rPr>
          <w:rFonts w:ascii="Times New Roman" w:hAnsi="Times New Roman" w:cs="Times New Roman"/>
          <w:sz w:val="28"/>
        </w:rPr>
        <w:t xml:space="preserve">Пунктом </w:t>
      </w:r>
      <w:r>
        <w:rPr>
          <w:rFonts w:ascii="Times New Roman" w:hAnsi="Times New Roman" w:cs="Times New Roman"/>
          <w:sz w:val="28"/>
        </w:rPr>
        <w:t xml:space="preserve">7.1 </w:t>
      </w:r>
      <w:r w:rsidRPr="00983A3B">
        <w:rPr>
          <w:rFonts w:ascii="Times New Roman" w:hAnsi="Times New Roman" w:cs="Times New Roman"/>
          <w:sz w:val="28"/>
        </w:rPr>
        <w:t xml:space="preserve">Положения определено, что лицам, замещающим муниципальные должности, </w:t>
      </w:r>
      <w:r w:rsidRPr="000207B2">
        <w:rPr>
          <w:rFonts w:ascii="Times New Roman" w:hAnsi="Times New Roman" w:cs="Times New Roman"/>
          <w:i/>
          <w:sz w:val="28"/>
          <w:u w:val="single"/>
        </w:rPr>
        <w:t xml:space="preserve">на основании распоряжения руководителя органа местного самоуправления сельского поселения </w:t>
      </w:r>
      <w:proofErr w:type="spellStart"/>
      <w:r w:rsidRPr="000207B2">
        <w:rPr>
          <w:rFonts w:ascii="Times New Roman" w:hAnsi="Times New Roman" w:cs="Times New Roman"/>
          <w:i/>
          <w:sz w:val="28"/>
          <w:u w:val="single"/>
        </w:rPr>
        <w:t>Горноправдинск</w:t>
      </w:r>
      <w:proofErr w:type="spellEnd"/>
      <w:r w:rsidRPr="00983A3B">
        <w:rPr>
          <w:rFonts w:ascii="Times New Roman" w:hAnsi="Times New Roman" w:cs="Times New Roman"/>
          <w:sz w:val="28"/>
        </w:rPr>
        <w:t xml:space="preserve">, могут быть выплачены премии за выполнение особо важных и сложных заданий (в размере не более одного месячного фонда оплаты труда), </w:t>
      </w:r>
      <w:r w:rsidR="002577CC">
        <w:rPr>
          <w:rFonts w:ascii="Times New Roman" w:hAnsi="Times New Roman" w:cs="Times New Roman"/>
          <w:sz w:val="28"/>
        </w:rPr>
        <w:t xml:space="preserve">                    </w:t>
      </w:r>
      <w:r w:rsidRPr="00983A3B">
        <w:rPr>
          <w:rFonts w:ascii="Times New Roman" w:hAnsi="Times New Roman" w:cs="Times New Roman"/>
          <w:sz w:val="28"/>
        </w:rPr>
        <w:t>при этом не определено на основании какого документа выплачивается премия по результатам работы за квартал (в размере не более одного фонда</w:t>
      </w:r>
      <w:proofErr w:type="gramEnd"/>
      <w:r w:rsidRPr="00983A3B">
        <w:rPr>
          <w:rFonts w:ascii="Times New Roman" w:hAnsi="Times New Roman" w:cs="Times New Roman"/>
          <w:sz w:val="28"/>
        </w:rPr>
        <w:t xml:space="preserve"> оплаты труда (максимальный размер премии) и год (в размере двух месячных фондов оплаты труда).</w:t>
      </w:r>
    </w:p>
    <w:p w:rsidR="009D611B" w:rsidRPr="00CB446F" w:rsidRDefault="009D611B" w:rsidP="009D6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6F">
        <w:rPr>
          <w:rFonts w:ascii="Times New Roman" w:hAnsi="Times New Roman" w:cs="Times New Roman"/>
          <w:sz w:val="28"/>
          <w:szCs w:val="28"/>
        </w:rPr>
        <w:t xml:space="preserve">В силу статей 36 и 40 Закона от 06.10.2003 № 131-ФЗ глава муниципального образования, так и депутат, член выборного органа местного самоуправления, выборное должностное лицо местного </w:t>
      </w:r>
      <w:r w:rsidRPr="00CB446F">
        <w:rPr>
          <w:rFonts w:ascii="Times New Roman" w:hAnsi="Times New Roman" w:cs="Times New Roman"/>
          <w:sz w:val="28"/>
          <w:szCs w:val="28"/>
        </w:rPr>
        <w:lastRenderedPageBreak/>
        <w:t>самоуправления должны соблюдать ограничения, запреты, исполнять обязанности, которые установлены, в том числе Федеральным законом                от 25.12.2008 № 273-ФЗ «О противодействии коррупции».</w:t>
      </w:r>
    </w:p>
    <w:p w:rsidR="009D611B" w:rsidRPr="00F7304D" w:rsidRDefault="009D611B" w:rsidP="009D6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04D">
        <w:rPr>
          <w:rFonts w:ascii="Times New Roman" w:hAnsi="Times New Roman" w:cs="Times New Roman"/>
          <w:sz w:val="28"/>
        </w:rPr>
        <w:t xml:space="preserve">Таким образом, глава сельского поселения </w:t>
      </w:r>
      <w:proofErr w:type="spellStart"/>
      <w:r w:rsidRPr="00983A3B">
        <w:rPr>
          <w:rFonts w:ascii="Times New Roman" w:hAnsi="Times New Roman" w:cs="Times New Roman"/>
          <w:sz w:val="28"/>
        </w:rPr>
        <w:t>Горноправдинск</w:t>
      </w:r>
      <w:proofErr w:type="spellEnd"/>
      <w:r w:rsidRPr="00F7304D">
        <w:rPr>
          <w:rFonts w:ascii="Times New Roman" w:hAnsi="Times New Roman" w:cs="Times New Roman"/>
          <w:sz w:val="28"/>
        </w:rPr>
        <w:t xml:space="preserve"> принимает решение о получении дохода в отношении самого себя, то есть </w:t>
      </w:r>
      <w:proofErr w:type="gramStart"/>
      <w:r w:rsidRPr="00F7304D">
        <w:rPr>
          <w:rFonts w:ascii="Times New Roman" w:hAnsi="Times New Roman" w:cs="Times New Roman"/>
          <w:sz w:val="28"/>
        </w:rPr>
        <w:t>находится</w:t>
      </w:r>
      <w:proofErr w:type="gramEnd"/>
      <w:r w:rsidRPr="00F7304D">
        <w:rPr>
          <w:rFonts w:ascii="Times New Roman" w:hAnsi="Times New Roman" w:cs="Times New Roman"/>
          <w:sz w:val="28"/>
        </w:rPr>
        <w:t xml:space="preserve"> в состоянии конфликта интересов, когда его личная заинтересованность может повлиять на объективность принятого решения.</w:t>
      </w:r>
    </w:p>
    <w:p w:rsidR="009D611B" w:rsidRPr="00F7304D" w:rsidRDefault="009D611B" w:rsidP="009D6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04D">
        <w:rPr>
          <w:rFonts w:ascii="Times New Roman" w:hAnsi="Times New Roman" w:cs="Times New Roman"/>
          <w:sz w:val="28"/>
        </w:rPr>
        <w:t>Премия за выполнение особо важных и сложных заданий, а также квартальная и годовая премии</w:t>
      </w:r>
      <w:r>
        <w:rPr>
          <w:rFonts w:ascii="Times New Roman" w:hAnsi="Times New Roman" w:cs="Times New Roman"/>
          <w:sz w:val="28"/>
        </w:rPr>
        <w:t>,</w:t>
      </w:r>
      <w:r w:rsidRPr="00F7304D">
        <w:rPr>
          <w:rFonts w:ascii="Times New Roman" w:hAnsi="Times New Roman" w:cs="Times New Roman"/>
          <w:sz w:val="28"/>
        </w:rPr>
        <w:t xml:space="preserve"> предусмотренн</w:t>
      </w:r>
      <w:r>
        <w:rPr>
          <w:rFonts w:ascii="Times New Roman" w:hAnsi="Times New Roman" w:cs="Times New Roman"/>
          <w:sz w:val="28"/>
        </w:rPr>
        <w:t xml:space="preserve">ые </w:t>
      </w:r>
      <w:r w:rsidRPr="00F7304D">
        <w:rPr>
          <w:rFonts w:ascii="Times New Roman" w:hAnsi="Times New Roman" w:cs="Times New Roman"/>
          <w:sz w:val="28"/>
        </w:rPr>
        <w:t>Положением</w:t>
      </w:r>
      <w:r>
        <w:rPr>
          <w:rFonts w:ascii="Times New Roman" w:hAnsi="Times New Roman" w:cs="Times New Roman"/>
          <w:sz w:val="28"/>
        </w:rPr>
        <w:t>,</w:t>
      </w:r>
      <w:r w:rsidRPr="00F7304D">
        <w:rPr>
          <w:rFonts w:ascii="Times New Roman" w:hAnsi="Times New Roman" w:cs="Times New Roman"/>
          <w:sz w:val="28"/>
        </w:rPr>
        <w:t xml:space="preserve"> включены           в число иных дополнительных выплат и по своей правовой природе являются поощрительной выплатой, осуществление которой зависит                 от оценки результатов деятельности главы сельского поселения.</w:t>
      </w:r>
    </w:p>
    <w:p w:rsidR="009D611B" w:rsidRPr="00F7304D" w:rsidRDefault="009D611B" w:rsidP="009D6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04D">
        <w:rPr>
          <w:rFonts w:ascii="Times New Roman" w:hAnsi="Times New Roman" w:cs="Times New Roman"/>
          <w:sz w:val="28"/>
        </w:rPr>
        <w:t xml:space="preserve">Полномочия по оценке результатов деятельности главы сельского поселения являются исключительной компетенцией представительного органа муниципального образования, которому </w:t>
      </w:r>
      <w:proofErr w:type="gramStart"/>
      <w:r w:rsidRPr="00F7304D">
        <w:rPr>
          <w:rFonts w:ascii="Times New Roman" w:hAnsi="Times New Roman" w:cs="Times New Roman"/>
          <w:sz w:val="28"/>
        </w:rPr>
        <w:t>подотчетен</w:t>
      </w:r>
      <w:proofErr w:type="gramEnd"/>
      <w:r w:rsidRPr="00F7304D">
        <w:rPr>
          <w:rFonts w:ascii="Times New Roman" w:hAnsi="Times New Roman" w:cs="Times New Roman"/>
          <w:sz w:val="28"/>
        </w:rPr>
        <w:t xml:space="preserve"> глава сельского </w:t>
      </w:r>
      <w:r>
        <w:rPr>
          <w:rFonts w:ascii="Times New Roman" w:hAnsi="Times New Roman" w:cs="Times New Roman"/>
          <w:sz w:val="28"/>
        </w:rPr>
        <w:t>поселения</w:t>
      </w:r>
      <w:r w:rsidRPr="00CB446F">
        <w:rPr>
          <w:rFonts w:ascii="Times New Roman" w:hAnsi="Times New Roman" w:cs="Times New Roman"/>
          <w:sz w:val="28"/>
        </w:rPr>
        <w:t>.</w:t>
      </w:r>
      <w:r w:rsidRPr="00F7304D">
        <w:rPr>
          <w:rFonts w:ascii="Times New Roman" w:hAnsi="Times New Roman" w:cs="Times New Roman"/>
          <w:sz w:val="28"/>
        </w:rPr>
        <w:t xml:space="preserve"> </w:t>
      </w:r>
    </w:p>
    <w:p w:rsidR="009D611B" w:rsidRPr="00F7304D" w:rsidRDefault="009D611B" w:rsidP="009D6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04D">
        <w:rPr>
          <w:rFonts w:ascii="Times New Roman" w:hAnsi="Times New Roman" w:cs="Times New Roman"/>
          <w:sz w:val="28"/>
        </w:rPr>
        <w:t>Кроме того, пунктом 8.5</w:t>
      </w:r>
      <w:r>
        <w:rPr>
          <w:rFonts w:ascii="Times New Roman" w:hAnsi="Times New Roman" w:cs="Times New Roman"/>
          <w:sz w:val="28"/>
        </w:rPr>
        <w:t xml:space="preserve"> </w:t>
      </w:r>
      <w:r w:rsidRPr="00F7304D">
        <w:rPr>
          <w:rFonts w:ascii="Times New Roman" w:hAnsi="Times New Roman" w:cs="Times New Roman"/>
          <w:sz w:val="28"/>
        </w:rPr>
        <w:t xml:space="preserve">Положения определено, </w:t>
      </w:r>
      <w:r>
        <w:rPr>
          <w:rFonts w:ascii="Times New Roman" w:hAnsi="Times New Roman" w:cs="Times New Roman"/>
          <w:sz w:val="28"/>
        </w:rPr>
        <w:t xml:space="preserve">что в </w:t>
      </w:r>
      <w:r w:rsidRPr="00F7304D">
        <w:rPr>
          <w:rFonts w:ascii="Times New Roman" w:hAnsi="Times New Roman" w:cs="Times New Roman"/>
          <w:sz w:val="28"/>
        </w:rPr>
        <w:t xml:space="preserve">случае полученной экономии фонда оплаты труда размер премии по итогам работы за квартал </w:t>
      </w:r>
      <w:r w:rsidRPr="00F7304D">
        <w:rPr>
          <w:rFonts w:ascii="Times New Roman" w:hAnsi="Times New Roman" w:cs="Times New Roman"/>
          <w:i/>
          <w:sz w:val="28"/>
          <w:u w:val="single"/>
        </w:rPr>
        <w:t>максимальным размером не ограничивается</w:t>
      </w:r>
      <w:r w:rsidRPr="00F7304D">
        <w:rPr>
          <w:rFonts w:ascii="Times New Roman" w:hAnsi="Times New Roman" w:cs="Times New Roman"/>
          <w:sz w:val="28"/>
        </w:rPr>
        <w:t xml:space="preserve">, что является </w:t>
      </w:r>
      <w:r>
        <w:rPr>
          <w:rFonts w:ascii="Times New Roman" w:hAnsi="Times New Roman" w:cs="Times New Roman"/>
          <w:sz w:val="28"/>
        </w:rPr>
        <w:t xml:space="preserve">несоблюдением </w:t>
      </w:r>
      <w:r w:rsidRPr="00F7304D">
        <w:rPr>
          <w:rFonts w:ascii="Times New Roman" w:hAnsi="Times New Roman" w:cs="Times New Roman"/>
          <w:sz w:val="28"/>
        </w:rPr>
        <w:t>требований</w:t>
      </w:r>
      <w:r>
        <w:rPr>
          <w:rFonts w:ascii="Times New Roman" w:hAnsi="Times New Roman" w:cs="Times New Roman"/>
          <w:sz w:val="28"/>
        </w:rPr>
        <w:t>,</w:t>
      </w:r>
      <w:r w:rsidRPr="00F7304D">
        <w:rPr>
          <w:rFonts w:ascii="Times New Roman" w:hAnsi="Times New Roman" w:cs="Times New Roman"/>
          <w:sz w:val="28"/>
        </w:rPr>
        <w:t xml:space="preserve"> установленных </w:t>
      </w:r>
      <w:r>
        <w:rPr>
          <w:rFonts w:ascii="Times New Roman" w:hAnsi="Times New Roman" w:cs="Times New Roman"/>
          <w:sz w:val="28"/>
        </w:rPr>
        <w:t>п</w:t>
      </w:r>
      <w:r w:rsidRPr="00F7304D">
        <w:rPr>
          <w:rFonts w:ascii="Times New Roman" w:hAnsi="Times New Roman" w:cs="Times New Roman"/>
          <w:sz w:val="28"/>
        </w:rPr>
        <w:t>остановлением Правительства  ХМАО</w:t>
      </w:r>
      <w:r>
        <w:rPr>
          <w:rFonts w:ascii="Times New Roman" w:hAnsi="Times New Roman" w:cs="Times New Roman"/>
          <w:sz w:val="28"/>
        </w:rPr>
        <w:t xml:space="preserve"> – </w:t>
      </w:r>
      <w:r w:rsidRPr="00F7304D">
        <w:rPr>
          <w:rFonts w:ascii="Times New Roman" w:hAnsi="Times New Roman" w:cs="Times New Roman"/>
          <w:sz w:val="28"/>
        </w:rPr>
        <w:t>Югры от 23.08.2019 № 278-п.</w:t>
      </w:r>
    </w:p>
    <w:p w:rsidR="009D611B" w:rsidRPr="002D204C" w:rsidRDefault="009D611B" w:rsidP="009D6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04D">
        <w:rPr>
          <w:rFonts w:ascii="Times New Roman" w:hAnsi="Times New Roman" w:cs="Times New Roman"/>
          <w:sz w:val="28"/>
        </w:rPr>
        <w:t xml:space="preserve">Так, частью 2 пункта 7 </w:t>
      </w:r>
      <w:r>
        <w:rPr>
          <w:rFonts w:ascii="Times New Roman" w:hAnsi="Times New Roman" w:cs="Times New Roman"/>
          <w:sz w:val="28"/>
        </w:rPr>
        <w:t>п</w:t>
      </w:r>
      <w:r w:rsidRPr="00F7304D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 xml:space="preserve">я </w:t>
      </w:r>
      <w:r w:rsidRPr="00F7304D">
        <w:rPr>
          <w:rFonts w:ascii="Times New Roman" w:hAnsi="Times New Roman" w:cs="Times New Roman"/>
          <w:sz w:val="28"/>
        </w:rPr>
        <w:t>Правительства                           ХМАО</w:t>
      </w:r>
      <w:r>
        <w:rPr>
          <w:rFonts w:ascii="Times New Roman" w:hAnsi="Times New Roman" w:cs="Times New Roman"/>
          <w:sz w:val="28"/>
        </w:rPr>
        <w:t xml:space="preserve"> – </w:t>
      </w:r>
      <w:r w:rsidRPr="00F7304D">
        <w:rPr>
          <w:rFonts w:ascii="Times New Roman" w:hAnsi="Times New Roman" w:cs="Times New Roman"/>
          <w:sz w:val="28"/>
        </w:rPr>
        <w:t>Югры от 23.08.2019 № 278-п установлено, что при формировании годового нормативного объема расходов на содержание лиц, замещающих муниципальные должности</w:t>
      </w:r>
      <w:r>
        <w:rPr>
          <w:rFonts w:ascii="Times New Roman" w:hAnsi="Times New Roman" w:cs="Times New Roman"/>
          <w:sz w:val="28"/>
        </w:rPr>
        <w:t>,</w:t>
      </w:r>
      <w:r w:rsidRPr="00F7304D">
        <w:rPr>
          <w:rFonts w:ascii="Times New Roman" w:hAnsi="Times New Roman" w:cs="Times New Roman"/>
          <w:sz w:val="28"/>
        </w:rPr>
        <w:t xml:space="preserve"> предусматривается выплата премий                           по результатам работы за квартал, год – </w:t>
      </w:r>
      <w:r w:rsidRPr="000528CB">
        <w:rPr>
          <w:rFonts w:ascii="Times New Roman" w:hAnsi="Times New Roman" w:cs="Times New Roman"/>
          <w:i/>
          <w:sz w:val="28"/>
          <w:u w:val="single"/>
        </w:rPr>
        <w:t>в размере шести месячных фондов оплаты труда.</w:t>
      </w:r>
    </w:p>
    <w:p w:rsidR="009D611B" w:rsidRDefault="009D611B" w:rsidP="009D6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7304D">
        <w:rPr>
          <w:rFonts w:ascii="Times New Roman" w:hAnsi="Times New Roman" w:cs="Times New Roman"/>
          <w:b/>
          <w:i/>
          <w:sz w:val="28"/>
        </w:rPr>
        <w:t xml:space="preserve">Таким образом, Положение о денежном содержании                            </w:t>
      </w:r>
      <w:proofErr w:type="gramStart"/>
      <w:r w:rsidRPr="00F7304D">
        <w:rPr>
          <w:rFonts w:ascii="Times New Roman" w:hAnsi="Times New Roman" w:cs="Times New Roman"/>
          <w:b/>
          <w:i/>
          <w:sz w:val="28"/>
        </w:rPr>
        <w:t xml:space="preserve">лиц, замещающих муниципальные должности сельского                     поселения </w:t>
      </w:r>
      <w:proofErr w:type="spellStart"/>
      <w:r w:rsidRPr="00F7304D">
        <w:rPr>
          <w:rFonts w:ascii="Times New Roman" w:hAnsi="Times New Roman" w:cs="Times New Roman"/>
          <w:b/>
          <w:i/>
          <w:sz w:val="28"/>
        </w:rPr>
        <w:t>Горноправдинск</w:t>
      </w:r>
      <w:proofErr w:type="spellEnd"/>
      <w:r w:rsidRPr="00F7304D">
        <w:rPr>
          <w:rFonts w:ascii="Times New Roman" w:hAnsi="Times New Roman" w:cs="Times New Roman"/>
          <w:b/>
          <w:i/>
          <w:sz w:val="28"/>
        </w:rPr>
        <w:t xml:space="preserve"> подлежит</w:t>
      </w:r>
      <w:proofErr w:type="gramEnd"/>
      <w:r w:rsidRPr="00F7304D">
        <w:rPr>
          <w:rFonts w:ascii="Times New Roman" w:hAnsi="Times New Roman" w:cs="Times New Roman"/>
          <w:b/>
          <w:i/>
          <w:sz w:val="28"/>
        </w:rPr>
        <w:t xml:space="preserve"> приведению в соответствие                                     с действующим законодательством, </w:t>
      </w:r>
      <w:r>
        <w:rPr>
          <w:rFonts w:ascii="Times New Roman" w:hAnsi="Times New Roman" w:cs="Times New Roman"/>
          <w:b/>
          <w:i/>
          <w:sz w:val="28"/>
        </w:rPr>
        <w:t xml:space="preserve">кроме этого </w:t>
      </w:r>
      <w:r w:rsidRPr="00092AA7">
        <w:rPr>
          <w:rFonts w:ascii="Times New Roman" w:hAnsi="Times New Roman" w:cs="Times New Roman"/>
          <w:b/>
          <w:i/>
          <w:sz w:val="28"/>
        </w:rPr>
        <w:t xml:space="preserve">подлежат исключению </w:t>
      </w:r>
      <w:proofErr w:type="spellStart"/>
      <w:r w:rsidRPr="00092AA7">
        <w:rPr>
          <w:rFonts w:ascii="Times New Roman" w:hAnsi="Times New Roman" w:cs="Times New Roman"/>
          <w:b/>
          <w:i/>
          <w:sz w:val="28"/>
        </w:rPr>
        <w:t>коррупциогенные</w:t>
      </w:r>
      <w:proofErr w:type="spellEnd"/>
      <w:r w:rsidRPr="00092AA7">
        <w:rPr>
          <w:rFonts w:ascii="Times New Roman" w:hAnsi="Times New Roman" w:cs="Times New Roman"/>
          <w:b/>
          <w:i/>
          <w:sz w:val="28"/>
        </w:rPr>
        <w:t xml:space="preserve"> факторы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9D611B" w:rsidRPr="00067BCB" w:rsidRDefault="009D611B" w:rsidP="00FA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0E87" w:rsidRPr="004D155E" w:rsidRDefault="00DA1898" w:rsidP="0048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4D15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C90E87" w:rsidRPr="00A133CF" w:rsidRDefault="00FA33C4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</w:t>
      </w:r>
      <w:r w:rsidR="000C02FD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90E87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C90E87" w:rsidRPr="00A133C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3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C90E87" w:rsidRPr="00A133CF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C90E87" w:rsidRPr="00A133CF" w:rsidRDefault="000D039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0E87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</w:t>
      </w:r>
      <w:r w:rsidR="005F6D7F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A3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6D7F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F85FA3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6D7F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202</w:t>
      </w:r>
      <w:r w:rsidR="00A133CF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E87"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C90E87" w:rsidRPr="00A03ED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анализа отчетных показателей</w:t>
      </w:r>
      <w:r w:rsidR="00F85FA3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графа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«Утвержденные бюджетные назначения» Отчета об исполнении бюджета</w:t>
      </w:r>
      <w:r w:rsidR="00F85FA3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F85FA3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A3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</w:t>
      </w:r>
      <w:r w:rsidR="00700343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700343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3EDF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3EDF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00343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5F6D7F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03EDF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D0396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EDF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BE1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EDF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отклонения</w:t>
      </w:r>
      <w:r w:rsidR="00565F98"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C90E87" w:rsidRPr="00A03EDF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C90E87" w:rsidRPr="007D508B" w:rsidRDefault="00A93AD5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исполнения бюджета сформирован по состоянию                       </w:t>
      </w:r>
      <w:r w:rsidR="009E2BE1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202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</w:t>
      </w:r>
      <w:r w:rsidR="009E2BE1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E1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0503130</w:t>
      </w:r>
      <w:r w:rsidR="009E2BE1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Баланса по поступлениям и выбытиям бюджетных средств</w:t>
      </w:r>
      <w:r w:rsidR="00495F91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E1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0503140</w:t>
      </w:r>
      <w:r w:rsidR="009E2BE1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объединения показателей по строкам и графам отчетов, с одновременным исключением взаимосвязанных</w:t>
      </w:r>
      <w:proofErr w:type="gramEnd"/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C90E87" w:rsidRPr="007D508B" w:rsidRDefault="00065AC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0503168) и составляют на конец года 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14 216 879,95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13 560 892,95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90100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Амортизация основных ср</w:t>
      </w:r>
      <w:r w:rsidR="000C02FD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составила на конец года 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10 147 407,27 рублей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9 560 773,66 рубля</w:t>
      </w:r>
      <w:r w:rsidR="00C138FA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у</w:t>
      </w:r>
      <w:r w:rsidR="00C138FA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нефинансовых активов в части остаточной стоимости основных средств </w:t>
      </w:r>
      <w:r w:rsidR="000C02FD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69 353,39</w:t>
      </w:r>
      <w:r w:rsidR="00E90100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2242C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8B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C90E87" w:rsidRPr="007D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90E87" w:rsidRPr="003C043C" w:rsidRDefault="0037059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C90E87" w:rsidRPr="003C043C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C90E87" w:rsidRPr="00C50733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</w:t>
      </w:r>
      <w:r w:rsidR="000D0396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043C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80 660 611,09</w:t>
      </w:r>
      <w:r w:rsidR="000D0396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2F2FDD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43C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32 321 075,44</w:t>
      </w:r>
      <w:r w:rsidR="00812F3F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C043C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3C043C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6 449 812,59</w:t>
      </w:r>
      <w:r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2F2FDD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пени, неустойки, возмещение ущерба</w:t>
      </w:r>
      <w:r w:rsidR="00E6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F2FDD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043C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>52 588,95</w:t>
      </w:r>
      <w:r w:rsidR="002F2FDD" w:rsidRPr="003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2F2FD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денежные поступления текущего характера 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97 581 593,04</w:t>
      </w:r>
      <w:r w:rsidR="002F2FD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FD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операций с активами – (минус)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58 975 998,77</w:t>
      </w:r>
      <w:r w:rsidR="000555DB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F2FD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</w:t>
      </w:r>
      <w:r w:rsidR="002F2FD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spellStart"/>
      <w:r w:rsidR="002F2FD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неденежные</w:t>
      </w:r>
      <w:proofErr w:type="spellEnd"/>
      <w:proofErr w:type="gramEnd"/>
      <w:r w:rsidR="002F2FD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сектор государственного управления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D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3 231 539,84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2364C2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158 922 346,46</w:t>
      </w:r>
      <w:r w:rsidR="000555DB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26 150 102,75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50733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DBC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2364C2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работ, услуг </w:t>
      </w:r>
      <w:r w:rsidR="000C02FD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58 281 636,22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4C2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36,7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перечисления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характера организациям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50 575 861,84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50733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64C2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3 295 765,62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4C2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социальное обеспечение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506 890,08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50733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5C95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proofErr w:type="gramEnd"/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операциям с активами 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20 029 103,46 </w:t>
      </w:r>
      <w:r w:rsidR="00C50733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64C2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расходы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0733" w:rsidRP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>82 986,49</w:t>
      </w:r>
      <w:r w:rsidR="00C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33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4C2"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 w:rsidRPr="002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030B94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Чистый операционный результат по бюджетной деятельности сложился в сумме –</w:t>
      </w:r>
      <w:r w:rsidR="00CA688D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94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(минус) 78 261 735,37</w:t>
      </w: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C90E87" w:rsidRPr="00030B94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="001F047E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ф. 0503110 на 01.01.2021</w:t>
      </w: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C90E87" w:rsidRPr="00030B94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C90E87" w:rsidRPr="00030B94" w:rsidRDefault="00D34C3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C90E87" w:rsidRPr="00030B94" w:rsidRDefault="00A74458" w:rsidP="000518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030B94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139 513 969,94</w:t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518EE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030B94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151 486 457,54</w:t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разделе «Изменение остатков средств» отражена разница между </w:t>
      </w:r>
      <w:r w:rsidR="007B293B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3B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дохо</w:t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 бюджета  в размере – (минус) </w:t>
      </w:r>
      <w:r w:rsidR="00030B94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278 640,21 рублей</w:t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030B94" w:rsidRDefault="004B14E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0518EE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C90E87" w:rsidRPr="00030B94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C90E87" w:rsidRPr="00030B94" w:rsidRDefault="00A74458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773144" w:rsidRPr="00030B94" w:rsidRDefault="00C90E87" w:rsidP="0077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152 Инструкции                                191н раздел 2 «Результаты деятельности субъекта бюджетной отчетности» Пояснительной записки не содержит</w:t>
      </w:r>
      <w:r w:rsidR="00773144"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  Инструкцией 191н информации </w:t>
      </w:r>
      <w:r w:rsidR="00BC32CD" w:rsidRPr="00030B94">
        <w:rPr>
          <w:rFonts w:ascii="Times New Roman" w:hAnsi="Times New Roman" w:cs="Times New Roman"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</w:t>
      </w:r>
      <w:r w:rsidR="00BC32CD" w:rsidRPr="00030B94">
        <w:rPr>
          <w:rFonts w:ascii="Times New Roman" w:hAnsi="Times New Roman" w:cs="Times New Roman"/>
          <w:sz w:val="28"/>
          <w:szCs w:val="28"/>
        </w:rPr>
        <w:lastRenderedPageBreak/>
        <w:t xml:space="preserve">(соответствия величины, состава и технического уровня фондов реальной потребности в них), основных мероприятиях по улучшению состояния </w:t>
      </w:r>
      <w:r w:rsidR="00495F91" w:rsidRPr="00030B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32CD" w:rsidRPr="00030B94">
        <w:rPr>
          <w:rFonts w:ascii="Times New Roman" w:hAnsi="Times New Roman" w:cs="Times New Roman"/>
          <w:sz w:val="28"/>
          <w:szCs w:val="28"/>
        </w:rPr>
        <w:t>и сохранности основных средств;</w:t>
      </w:r>
      <w:proofErr w:type="gramEnd"/>
      <w:r w:rsidR="00BC32CD" w:rsidRPr="00030B94">
        <w:rPr>
          <w:rFonts w:ascii="Times New Roman" w:hAnsi="Times New Roman" w:cs="Times New Roman"/>
          <w:sz w:val="28"/>
          <w:szCs w:val="28"/>
        </w:rPr>
        <w:t xml:space="preserve"> характеристики комплектности.</w:t>
      </w:r>
    </w:p>
    <w:p w:rsidR="00773144" w:rsidRPr="00D4479A" w:rsidRDefault="000B622D" w:rsidP="0077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152 Инструкции № 191н в составе раздела 5 Пояснительной записки предусмотрено</w:t>
      </w:r>
      <w:r w:rsidR="002344F7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FD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1F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таблицы № 6 «Сведения о проведении инвентаризации»</w:t>
      </w:r>
      <w:r w:rsidR="00DD487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Таблица № 6)</w:t>
      </w:r>
      <w:r w:rsidR="00AC70DD" w:rsidRPr="00D4479A">
        <w:rPr>
          <w:rFonts w:ascii="Times New Roman" w:hAnsi="Times New Roman" w:cs="Times New Roman"/>
          <w:sz w:val="28"/>
          <w:szCs w:val="28"/>
        </w:rPr>
        <w:t>.</w:t>
      </w:r>
      <w:r w:rsidRPr="00D4479A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D447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479A">
        <w:rPr>
          <w:rFonts w:ascii="Times New Roman" w:hAnsi="Times New Roman" w:cs="Times New Roman"/>
          <w:sz w:val="28"/>
          <w:szCs w:val="28"/>
        </w:rPr>
        <w:t xml:space="preserve"> в</w:t>
      </w:r>
      <w:r w:rsidR="00DD4871" w:rsidRPr="00D4479A">
        <w:rPr>
          <w:rFonts w:ascii="Times New Roman" w:hAnsi="Times New Roman" w:cs="Times New Roman"/>
          <w:sz w:val="28"/>
          <w:szCs w:val="28"/>
        </w:rPr>
        <w:t xml:space="preserve"> </w:t>
      </w:r>
      <w:r w:rsidR="00B6520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495F9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6520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158 Инструкции № 191н</w:t>
      </w:r>
      <w:r w:rsidR="00746C8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20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расхождений </w:t>
      </w:r>
      <w:r w:rsidR="00495F9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6520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инвентаризации, проведенной в целях подтверждения показателей годовой бюджетной отчетности, Таблица №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C90E87" w:rsidRPr="00D4479A" w:rsidRDefault="0065122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внешней </w:t>
      </w:r>
      <w:r w:rsidR="007F0567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отчета за 202</w:t>
      </w:r>
      <w:r w:rsidR="00D4479A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E87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C90E87" w:rsidRPr="00D4479A" w:rsidRDefault="00C90E87" w:rsidP="00D4479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C90E87" w:rsidRPr="00D4479A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700343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</w:t>
      </w:r>
      <w:r w:rsidR="007F0567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</w:t>
      </w:r>
      <w:r w:rsidR="00D4479A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C90E87" w:rsidRPr="00D4479A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700343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E87" w:rsidRPr="00D4479A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700343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211CF" w:rsidRPr="00D4479A" w:rsidRDefault="009211C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качество бюджетного планирования расходов бюджета сельского поселения;</w:t>
      </w:r>
    </w:p>
    <w:p w:rsidR="00C90E87" w:rsidRPr="00D4479A" w:rsidRDefault="000C1FF1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C90E87" w:rsidRDefault="00C90E87" w:rsidP="005272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</w:t>
      </w:r>
      <w:r w:rsidR="007F0567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отчетности за 202</w:t>
      </w:r>
      <w:r w:rsidR="00D4479A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</w:t>
      </w:r>
      <w:r w:rsidR="007F0567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бюджетной отчетности;</w:t>
      </w:r>
    </w:p>
    <w:p w:rsidR="009D611B" w:rsidRPr="009D611B" w:rsidRDefault="009D611B" w:rsidP="005272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Положение о денежном содержании </w:t>
      </w:r>
      <w:proofErr w:type="gramStart"/>
      <w:r w:rsidRPr="009D611B">
        <w:rPr>
          <w:rFonts w:ascii="Times New Roman" w:hAnsi="Times New Roman" w:cs="Times New Roman"/>
          <w:sz w:val="28"/>
        </w:rPr>
        <w:t xml:space="preserve">лиц, замещающих муниципальные должности сельского поселения </w:t>
      </w:r>
      <w:proofErr w:type="spellStart"/>
      <w:r w:rsidRPr="009D611B">
        <w:rPr>
          <w:rFonts w:ascii="Times New Roman" w:hAnsi="Times New Roman" w:cs="Times New Roman"/>
          <w:sz w:val="28"/>
        </w:rPr>
        <w:t>Горноправдинск</w:t>
      </w:r>
      <w:proofErr w:type="spellEnd"/>
      <w:r w:rsidRPr="009D611B">
        <w:rPr>
          <w:rFonts w:ascii="Times New Roman" w:hAnsi="Times New Roman" w:cs="Times New Roman"/>
          <w:sz w:val="28"/>
        </w:rPr>
        <w:t xml:space="preserve"> подлежит</w:t>
      </w:r>
      <w:proofErr w:type="gramEnd"/>
      <w:r w:rsidRPr="009D611B">
        <w:rPr>
          <w:rFonts w:ascii="Times New Roman" w:hAnsi="Times New Roman" w:cs="Times New Roman"/>
          <w:sz w:val="28"/>
        </w:rPr>
        <w:t xml:space="preserve"> приведению в соответствие с действующим законодательством, кроме этого подлежат исключению </w:t>
      </w:r>
      <w:proofErr w:type="spellStart"/>
      <w:r w:rsidRPr="009D611B">
        <w:rPr>
          <w:rFonts w:ascii="Times New Roman" w:hAnsi="Times New Roman" w:cs="Times New Roman"/>
          <w:sz w:val="28"/>
        </w:rPr>
        <w:t>коррупциогенные</w:t>
      </w:r>
      <w:proofErr w:type="spellEnd"/>
      <w:r w:rsidRPr="009D611B">
        <w:rPr>
          <w:rFonts w:ascii="Times New Roman" w:hAnsi="Times New Roman" w:cs="Times New Roman"/>
          <w:sz w:val="28"/>
        </w:rPr>
        <w:t xml:space="preserve"> факторы</w:t>
      </w:r>
      <w:r>
        <w:rPr>
          <w:rFonts w:ascii="Times New Roman" w:hAnsi="Times New Roman" w:cs="Times New Roman"/>
          <w:sz w:val="28"/>
        </w:rPr>
        <w:t>;</w:t>
      </w:r>
    </w:p>
    <w:p w:rsidR="00A63A52" w:rsidRDefault="007F0567" w:rsidP="005903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C3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и утвердить представительным органом </w:t>
      </w:r>
      <w:r w:rsidR="00DD487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0F2C3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DD487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2C3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Б</w:t>
      </w:r>
      <w:r w:rsidR="00DD487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</w:t>
      </w:r>
      <w:r w:rsidR="000F2C36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 РФ</w:t>
      </w:r>
      <w:r w:rsidR="00DD487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представления, рассмотрения и утверждения годового отчета </w:t>
      </w:r>
      <w:r w:rsidR="00495F9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4871" w:rsidRPr="00D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бюджета.</w:t>
      </w:r>
      <w:r w:rsidR="000F2C36"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3EC" w:rsidRDefault="005903EC" w:rsidP="005903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C" w:rsidRDefault="005903EC" w:rsidP="005903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C" w:rsidRDefault="005903EC" w:rsidP="005903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903EC" w:rsidSect="000A29B1">
      <w:footerReference w:type="default" r:id="rId8"/>
      <w:footerReference w:type="first" r:id="rId9"/>
      <w:pgSz w:w="11906" w:h="16838"/>
      <w:pgMar w:top="1418" w:right="1133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DC" w:rsidRDefault="004803DC" w:rsidP="00617B40">
      <w:pPr>
        <w:spacing w:after="0" w:line="240" w:lineRule="auto"/>
      </w:pPr>
      <w:r>
        <w:separator/>
      </w:r>
    </w:p>
  </w:endnote>
  <w:endnote w:type="continuationSeparator" w:id="0">
    <w:p w:rsidR="004803DC" w:rsidRDefault="004803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36357"/>
      <w:docPartObj>
        <w:docPartGallery w:val="Page Numbers (Bottom of Page)"/>
        <w:docPartUnique/>
      </w:docPartObj>
    </w:sdtPr>
    <w:sdtContent>
      <w:p w:rsidR="004803DC" w:rsidRDefault="00652530">
        <w:pPr>
          <w:pStyle w:val="a8"/>
          <w:jc w:val="right"/>
        </w:pPr>
        <w:r>
          <w:fldChar w:fldCharType="begin"/>
        </w:r>
        <w:r w:rsidR="004803DC">
          <w:instrText>PAGE   \* MERGEFORMAT</w:instrText>
        </w:r>
        <w:r>
          <w:fldChar w:fldCharType="separate"/>
        </w:r>
        <w:r w:rsidR="00550D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803DC" w:rsidRDefault="004803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424487"/>
      <w:docPartObj>
        <w:docPartGallery w:val="Page Numbers (Bottom of Page)"/>
        <w:docPartUnique/>
      </w:docPartObj>
    </w:sdtPr>
    <w:sdtContent>
      <w:p w:rsidR="004803DC" w:rsidRDefault="00652530">
        <w:pPr>
          <w:pStyle w:val="a8"/>
          <w:jc w:val="right"/>
        </w:pPr>
        <w:r>
          <w:fldChar w:fldCharType="begin"/>
        </w:r>
        <w:r w:rsidR="004803DC">
          <w:instrText>PAGE   \* MERGEFORMAT</w:instrText>
        </w:r>
        <w:r>
          <w:fldChar w:fldCharType="separate"/>
        </w:r>
        <w:r w:rsidR="00550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3DC" w:rsidRDefault="004803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DC" w:rsidRDefault="004803DC" w:rsidP="00617B40">
      <w:pPr>
        <w:spacing w:after="0" w:line="240" w:lineRule="auto"/>
      </w:pPr>
      <w:r>
        <w:separator/>
      </w:r>
    </w:p>
  </w:footnote>
  <w:footnote w:type="continuationSeparator" w:id="0">
    <w:p w:rsidR="004803DC" w:rsidRDefault="004803D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9B5"/>
    <w:rsid w:val="00006AD9"/>
    <w:rsid w:val="0001133B"/>
    <w:rsid w:val="00011D8E"/>
    <w:rsid w:val="00012153"/>
    <w:rsid w:val="00015B73"/>
    <w:rsid w:val="00022709"/>
    <w:rsid w:val="0002448C"/>
    <w:rsid w:val="00025639"/>
    <w:rsid w:val="000269CB"/>
    <w:rsid w:val="00030B94"/>
    <w:rsid w:val="00032456"/>
    <w:rsid w:val="00034F32"/>
    <w:rsid w:val="000518EE"/>
    <w:rsid w:val="00052D2F"/>
    <w:rsid w:val="000553F6"/>
    <w:rsid w:val="000555DB"/>
    <w:rsid w:val="00064F2B"/>
    <w:rsid w:val="00065ACC"/>
    <w:rsid w:val="00066C92"/>
    <w:rsid w:val="00067BCB"/>
    <w:rsid w:val="000805A8"/>
    <w:rsid w:val="00081AAD"/>
    <w:rsid w:val="0008238D"/>
    <w:rsid w:val="00082B17"/>
    <w:rsid w:val="000857A8"/>
    <w:rsid w:val="0009072E"/>
    <w:rsid w:val="0009485B"/>
    <w:rsid w:val="00094C89"/>
    <w:rsid w:val="000974D4"/>
    <w:rsid w:val="000A20DE"/>
    <w:rsid w:val="000A29B1"/>
    <w:rsid w:val="000A2E80"/>
    <w:rsid w:val="000A5736"/>
    <w:rsid w:val="000A5F22"/>
    <w:rsid w:val="000A73E2"/>
    <w:rsid w:val="000B0ECC"/>
    <w:rsid w:val="000B1279"/>
    <w:rsid w:val="000B2CB0"/>
    <w:rsid w:val="000B30E4"/>
    <w:rsid w:val="000B4C48"/>
    <w:rsid w:val="000B5D3F"/>
    <w:rsid w:val="000B622D"/>
    <w:rsid w:val="000B693B"/>
    <w:rsid w:val="000B6BD3"/>
    <w:rsid w:val="000C02FD"/>
    <w:rsid w:val="000C039B"/>
    <w:rsid w:val="000C1FF1"/>
    <w:rsid w:val="000C639D"/>
    <w:rsid w:val="000D0396"/>
    <w:rsid w:val="000D1142"/>
    <w:rsid w:val="000D2E7B"/>
    <w:rsid w:val="000D3397"/>
    <w:rsid w:val="000D3C37"/>
    <w:rsid w:val="000E05A0"/>
    <w:rsid w:val="000E2AD9"/>
    <w:rsid w:val="000E2BC9"/>
    <w:rsid w:val="000E4D41"/>
    <w:rsid w:val="000E6517"/>
    <w:rsid w:val="000E76EF"/>
    <w:rsid w:val="000F242D"/>
    <w:rsid w:val="000F2A68"/>
    <w:rsid w:val="000F2C36"/>
    <w:rsid w:val="000F7B65"/>
    <w:rsid w:val="001018C8"/>
    <w:rsid w:val="00102219"/>
    <w:rsid w:val="00104FC7"/>
    <w:rsid w:val="001055A6"/>
    <w:rsid w:val="00106AD8"/>
    <w:rsid w:val="00110CFF"/>
    <w:rsid w:val="00113D3B"/>
    <w:rsid w:val="001201A3"/>
    <w:rsid w:val="001223FE"/>
    <w:rsid w:val="00122DF3"/>
    <w:rsid w:val="00133E08"/>
    <w:rsid w:val="00150709"/>
    <w:rsid w:val="00150967"/>
    <w:rsid w:val="00150DE9"/>
    <w:rsid w:val="00151E9B"/>
    <w:rsid w:val="00162F7A"/>
    <w:rsid w:val="00167936"/>
    <w:rsid w:val="00172408"/>
    <w:rsid w:val="001761D4"/>
    <w:rsid w:val="001774CF"/>
    <w:rsid w:val="00182AA0"/>
    <w:rsid w:val="00182B80"/>
    <w:rsid w:val="001847D2"/>
    <w:rsid w:val="00185C17"/>
    <w:rsid w:val="0018600B"/>
    <w:rsid w:val="00186A59"/>
    <w:rsid w:val="00186D25"/>
    <w:rsid w:val="001A402A"/>
    <w:rsid w:val="001A5D45"/>
    <w:rsid w:val="001B61E8"/>
    <w:rsid w:val="001C5C3F"/>
    <w:rsid w:val="001D12DA"/>
    <w:rsid w:val="001D7143"/>
    <w:rsid w:val="001F047E"/>
    <w:rsid w:val="001F0BD0"/>
    <w:rsid w:val="001F6244"/>
    <w:rsid w:val="001F6C76"/>
    <w:rsid w:val="00210CA0"/>
    <w:rsid w:val="002168E1"/>
    <w:rsid w:val="00216931"/>
    <w:rsid w:val="0021693B"/>
    <w:rsid w:val="00224F51"/>
    <w:rsid w:val="00225C7D"/>
    <w:rsid w:val="002300FD"/>
    <w:rsid w:val="002321F9"/>
    <w:rsid w:val="00234040"/>
    <w:rsid w:val="002344F7"/>
    <w:rsid w:val="0023474B"/>
    <w:rsid w:val="002359FE"/>
    <w:rsid w:val="002364C2"/>
    <w:rsid w:val="002452E9"/>
    <w:rsid w:val="002529F0"/>
    <w:rsid w:val="00256979"/>
    <w:rsid w:val="002577CC"/>
    <w:rsid w:val="002609F6"/>
    <w:rsid w:val="002610AF"/>
    <w:rsid w:val="00261D49"/>
    <w:rsid w:val="00266F18"/>
    <w:rsid w:val="00270240"/>
    <w:rsid w:val="0027253C"/>
    <w:rsid w:val="00276FC1"/>
    <w:rsid w:val="0028052E"/>
    <w:rsid w:val="00284C76"/>
    <w:rsid w:val="00284E7D"/>
    <w:rsid w:val="00292F45"/>
    <w:rsid w:val="00293AA8"/>
    <w:rsid w:val="00294BE5"/>
    <w:rsid w:val="00297A80"/>
    <w:rsid w:val="002A284A"/>
    <w:rsid w:val="002A3881"/>
    <w:rsid w:val="002A75A0"/>
    <w:rsid w:val="002B06A0"/>
    <w:rsid w:val="002B644F"/>
    <w:rsid w:val="002C5904"/>
    <w:rsid w:val="002C5C56"/>
    <w:rsid w:val="002D0994"/>
    <w:rsid w:val="002D220F"/>
    <w:rsid w:val="002E435F"/>
    <w:rsid w:val="002E5115"/>
    <w:rsid w:val="002F16EF"/>
    <w:rsid w:val="002F2892"/>
    <w:rsid w:val="002F2FDD"/>
    <w:rsid w:val="002F73AE"/>
    <w:rsid w:val="00300955"/>
    <w:rsid w:val="00300AFE"/>
    <w:rsid w:val="00301280"/>
    <w:rsid w:val="00302F35"/>
    <w:rsid w:val="00304B40"/>
    <w:rsid w:val="00307783"/>
    <w:rsid w:val="0031092A"/>
    <w:rsid w:val="0031599A"/>
    <w:rsid w:val="0031687D"/>
    <w:rsid w:val="00320BC1"/>
    <w:rsid w:val="00324AFB"/>
    <w:rsid w:val="00330414"/>
    <w:rsid w:val="00332C25"/>
    <w:rsid w:val="003413AF"/>
    <w:rsid w:val="00343B83"/>
    <w:rsid w:val="00343BF0"/>
    <w:rsid w:val="00343FF5"/>
    <w:rsid w:val="00344B47"/>
    <w:rsid w:val="003506AB"/>
    <w:rsid w:val="00357D14"/>
    <w:rsid w:val="00357F92"/>
    <w:rsid w:val="003624D8"/>
    <w:rsid w:val="0036401E"/>
    <w:rsid w:val="00365A99"/>
    <w:rsid w:val="00370592"/>
    <w:rsid w:val="00372E2B"/>
    <w:rsid w:val="0037425B"/>
    <w:rsid w:val="003824F7"/>
    <w:rsid w:val="0038487D"/>
    <w:rsid w:val="003871E5"/>
    <w:rsid w:val="003902AA"/>
    <w:rsid w:val="003917CA"/>
    <w:rsid w:val="00393DAD"/>
    <w:rsid w:val="0039505B"/>
    <w:rsid w:val="00397EFC"/>
    <w:rsid w:val="003A0585"/>
    <w:rsid w:val="003A08DF"/>
    <w:rsid w:val="003A5070"/>
    <w:rsid w:val="003A56C7"/>
    <w:rsid w:val="003B3970"/>
    <w:rsid w:val="003B488C"/>
    <w:rsid w:val="003B5D4F"/>
    <w:rsid w:val="003B751C"/>
    <w:rsid w:val="003C043C"/>
    <w:rsid w:val="003C7101"/>
    <w:rsid w:val="003D2EF7"/>
    <w:rsid w:val="003D543B"/>
    <w:rsid w:val="003D7BD0"/>
    <w:rsid w:val="003E3FF1"/>
    <w:rsid w:val="003E429E"/>
    <w:rsid w:val="003E42DF"/>
    <w:rsid w:val="003F157F"/>
    <w:rsid w:val="003F2416"/>
    <w:rsid w:val="003F3603"/>
    <w:rsid w:val="004019B1"/>
    <w:rsid w:val="00403FE6"/>
    <w:rsid w:val="00404BE7"/>
    <w:rsid w:val="00406FC9"/>
    <w:rsid w:val="00414BBF"/>
    <w:rsid w:val="0041700E"/>
    <w:rsid w:val="00417101"/>
    <w:rsid w:val="00421F2B"/>
    <w:rsid w:val="00422070"/>
    <w:rsid w:val="004237E5"/>
    <w:rsid w:val="00425FEB"/>
    <w:rsid w:val="00426734"/>
    <w:rsid w:val="00431272"/>
    <w:rsid w:val="0043169D"/>
    <w:rsid w:val="004333EE"/>
    <w:rsid w:val="00435130"/>
    <w:rsid w:val="00442C0C"/>
    <w:rsid w:val="00443CB3"/>
    <w:rsid w:val="00443EFE"/>
    <w:rsid w:val="00444FA4"/>
    <w:rsid w:val="0044500A"/>
    <w:rsid w:val="00446231"/>
    <w:rsid w:val="0045359C"/>
    <w:rsid w:val="004558E5"/>
    <w:rsid w:val="00460094"/>
    <w:rsid w:val="00463D31"/>
    <w:rsid w:val="00465FC6"/>
    <w:rsid w:val="00466E0C"/>
    <w:rsid w:val="00480333"/>
    <w:rsid w:val="004803DC"/>
    <w:rsid w:val="0048162A"/>
    <w:rsid w:val="004824C4"/>
    <w:rsid w:val="004840A4"/>
    <w:rsid w:val="00484948"/>
    <w:rsid w:val="00484D5F"/>
    <w:rsid w:val="00485648"/>
    <w:rsid w:val="00485DE4"/>
    <w:rsid w:val="00486C4C"/>
    <w:rsid w:val="00487AD2"/>
    <w:rsid w:val="004908BF"/>
    <w:rsid w:val="004918AD"/>
    <w:rsid w:val="00492E02"/>
    <w:rsid w:val="004941E1"/>
    <w:rsid w:val="00495F91"/>
    <w:rsid w:val="00496817"/>
    <w:rsid w:val="004972E4"/>
    <w:rsid w:val="004A4EF8"/>
    <w:rsid w:val="004A5B3D"/>
    <w:rsid w:val="004B14EC"/>
    <w:rsid w:val="004B28BF"/>
    <w:rsid w:val="004B3CC1"/>
    <w:rsid w:val="004B5B92"/>
    <w:rsid w:val="004B63B4"/>
    <w:rsid w:val="004B6F37"/>
    <w:rsid w:val="004C069C"/>
    <w:rsid w:val="004C5642"/>
    <w:rsid w:val="004C7125"/>
    <w:rsid w:val="004D036B"/>
    <w:rsid w:val="004D155E"/>
    <w:rsid w:val="004F2397"/>
    <w:rsid w:val="004F2D5F"/>
    <w:rsid w:val="004F616B"/>
    <w:rsid w:val="004F72DA"/>
    <w:rsid w:val="004F7CDE"/>
    <w:rsid w:val="00505370"/>
    <w:rsid w:val="00506F12"/>
    <w:rsid w:val="00507BC9"/>
    <w:rsid w:val="00510958"/>
    <w:rsid w:val="0051226F"/>
    <w:rsid w:val="005132BB"/>
    <w:rsid w:val="00514A0C"/>
    <w:rsid w:val="00514E41"/>
    <w:rsid w:val="00515BBE"/>
    <w:rsid w:val="005247F7"/>
    <w:rsid w:val="0052720F"/>
    <w:rsid w:val="00532CA8"/>
    <w:rsid w:val="0053400A"/>
    <w:rsid w:val="005439BD"/>
    <w:rsid w:val="005507D1"/>
    <w:rsid w:val="00550D65"/>
    <w:rsid w:val="005512D1"/>
    <w:rsid w:val="00555DFA"/>
    <w:rsid w:val="00557003"/>
    <w:rsid w:val="00557C0A"/>
    <w:rsid w:val="00561D0B"/>
    <w:rsid w:val="00562E2B"/>
    <w:rsid w:val="005635A7"/>
    <w:rsid w:val="005659EB"/>
    <w:rsid w:val="00565F98"/>
    <w:rsid w:val="0056694C"/>
    <w:rsid w:val="00572453"/>
    <w:rsid w:val="0057282F"/>
    <w:rsid w:val="00576276"/>
    <w:rsid w:val="005765AE"/>
    <w:rsid w:val="005838AA"/>
    <w:rsid w:val="00586C93"/>
    <w:rsid w:val="005903EC"/>
    <w:rsid w:val="00591DA9"/>
    <w:rsid w:val="0059465C"/>
    <w:rsid w:val="005952DA"/>
    <w:rsid w:val="00595B65"/>
    <w:rsid w:val="005A2FBD"/>
    <w:rsid w:val="005A331F"/>
    <w:rsid w:val="005A3C60"/>
    <w:rsid w:val="005A515E"/>
    <w:rsid w:val="005A58E1"/>
    <w:rsid w:val="005A66B0"/>
    <w:rsid w:val="005B2935"/>
    <w:rsid w:val="005B52DA"/>
    <w:rsid w:val="005B7083"/>
    <w:rsid w:val="005C0ECE"/>
    <w:rsid w:val="005C4293"/>
    <w:rsid w:val="005D50BD"/>
    <w:rsid w:val="005E10F4"/>
    <w:rsid w:val="005E1927"/>
    <w:rsid w:val="005E271B"/>
    <w:rsid w:val="005E7A94"/>
    <w:rsid w:val="005F048F"/>
    <w:rsid w:val="005F0864"/>
    <w:rsid w:val="005F19AD"/>
    <w:rsid w:val="005F33F4"/>
    <w:rsid w:val="005F549D"/>
    <w:rsid w:val="005F6D7F"/>
    <w:rsid w:val="0061146F"/>
    <w:rsid w:val="00616FF9"/>
    <w:rsid w:val="0061797B"/>
    <w:rsid w:val="00617B40"/>
    <w:rsid w:val="00621099"/>
    <w:rsid w:val="0062166C"/>
    <w:rsid w:val="0062287E"/>
    <w:rsid w:val="00623C81"/>
    <w:rsid w:val="00624276"/>
    <w:rsid w:val="00626321"/>
    <w:rsid w:val="00626796"/>
    <w:rsid w:val="00627973"/>
    <w:rsid w:val="00630152"/>
    <w:rsid w:val="00631136"/>
    <w:rsid w:val="006363F3"/>
    <w:rsid w:val="00636F28"/>
    <w:rsid w:val="006378F0"/>
    <w:rsid w:val="00643CEF"/>
    <w:rsid w:val="0064611E"/>
    <w:rsid w:val="00651222"/>
    <w:rsid w:val="00652530"/>
    <w:rsid w:val="00654837"/>
    <w:rsid w:val="00655734"/>
    <w:rsid w:val="006615CF"/>
    <w:rsid w:val="006670C4"/>
    <w:rsid w:val="00670D72"/>
    <w:rsid w:val="006722F9"/>
    <w:rsid w:val="00681141"/>
    <w:rsid w:val="0068191F"/>
    <w:rsid w:val="00681A6C"/>
    <w:rsid w:val="00685DBC"/>
    <w:rsid w:val="00693428"/>
    <w:rsid w:val="006A0D9D"/>
    <w:rsid w:val="006A5B30"/>
    <w:rsid w:val="006B1282"/>
    <w:rsid w:val="006B184C"/>
    <w:rsid w:val="006B2E62"/>
    <w:rsid w:val="006B3937"/>
    <w:rsid w:val="006B5363"/>
    <w:rsid w:val="006C04C1"/>
    <w:rsid w:val="006C0F94"/>
    <w:rsid w:val="006C37AF"/>
    <w:rsid w:val="006C6EC8"/>
    <w:rsid w:val="006C758F"/>
    <w:rsid w:val="006C77B8"/>
    <w:rsid w:val="006D092F"/>
    <w:rsid w:val="006D18AE"/>
    <w:rsid w:val="006D1963"/>
    <w:rsid w:val="006D495B"/>
    <w:rsid w:val="006D6835"/>
    <w:rsid w:val="006D6DCA"/>
    <w:rsid w:val="006F23A2"/>
    <w:rsid w:val="006F271F"/>
    <w:rsid w:val="006F3F0E"/>
    <w:rsid w:val="006F7B35"/>
    <w:rsid w:val="00700343"/>
    <w:rsid w:val="00700746"/>
    <w:rsid w:val="00701AD6"/>
    <w:rsid w:val="00710F27"/>
    <w:rsid w:val="00712366"/>
    <w:rsid w:val="00713C07"/>
    <w:rsid w:val="00721ECD"/>
    <w:rsid w:val="00724604"/>
    <w:rsid w:val="007273AC"/>
    <w:rsid w:val="00727D4A"/>
    <w:rsid w:val="00731ED0"/>
    <w:rsid w:val="007343BF"/>
    <w:rsid w:val="00734C8B"/>
    <w:rsid w:val="007424F9"/>
    <w:rsid w:val="007440CD"/>
    <w:rsid w:val="00746C86"/>
    <w:rsid w:val="0074772D"/>
    <w:rsid w:val="007567FC"/>
    <w:rsid w:val="00756908"/>
    <w:rsid w:val="00773144"/>
    <w:rsid w:val="0077481C"/>
    <w:rsid w:val="00785C64"/>
    <w:rsid w:val="00787B40"/>
    <w:rsid w:val="007A0722"/>
    <w:rsid w:val="007A22CF"/>
    <w:rsid w:val="007B293B"/>
    <w:rsid w:val="007B2D97"/>
    <w:rsid w:val="007B62F6"/>
    <w:rsid w:val="007B66B8"/>
    <w:rsid w:val="007C334F"/>
    <w:rsid w:val="007C521E"/>
    <w:rsid w:val="007C5828"/>
    <w:rsid w:val="007C71DA"/>
    <w:rsid w:val="007D09DC"/>
    <w:rsid w:val="007D508B"/>
    <w:rsid w:val="007E09B8"/>
    <w:rsid w:val="007E6824"/>
    <w:rsid w:val="007E7A5A"/>
    <w:rsid w:val="007F0567"/>
    <w:rsid w:val="007F49F2"/>
    <w:rsid w:val="007F72EF"/>
    <w:rsid w:val="00801422"/>
    <w:rsid w:val="00802526"/>
    <w:rsid w:val="00805A4C"/>
    <w:rsid w:val="00807F70"/>
    <w:rsid w:val="00811431"/>
    <w:rsid w:val="00812F3F"/>
    <w:rsid w:val="008168CE"/>
    <w:rsid w:val="00817974"/>
    <w:rsid w:val="008200A7"/>
    <w:rsid w:val="00822F9D"/>
    <w:rsid w:val="00827A88"/>
    <w:rsid w:val="0083303F"/>
    <w:rsid w:val="00836383"/>
    <w:rsid w:val="00840BB4"/>
    <w:rsid w:val="008422FD"/>
    <w:rsid w:val="008459BB"/>
    <w:rsid w:val="00850E5A"/>
    <w:rsid w:val="00853484"/>
    <w:rsid w:val="00855218"/>
    <w:rsid w:val="008565D9"/>
    <w:rsid w:val="00860568"/>
    <w:rsid w:val="00873D36"/>
    <w:rsid w:val="00880D1F"/>
    <w:rsid w:val="00886731"/>
    <w:rsid w:val="00887852"/>
    <w:rsid w:val="008900AD"/>
    <w:rsid w:val="00891E7E"/>
    <w:rsid w:val="00897CB6"/>
    <w:rsid w:val="008A61E4"/>
    <w:rsid w:val="008B3144"/>
    <w:rsid w:val="008B42ED"/>
    <w:rsid w:val="008C2ACB"/>
    <w:rsid w:val="008C7EBE"/>
    <w:rsid w:val="008D0FFE"/>
    <w:rsid w:val="008D6252"/>
    <w:rsid w:val="008E4601"/>
    <w:rsid w:val="008E5C85"/>
    <w:rsid w:val="008E7E8E"/>
    <w:rsid w:val="00900B04"/>
    <w:rsid w:val="00903628"/>
    <w:rsid w:val="00903CF1"/>
    <w:rsid w:val="00904E69"/>
    <w:rsid w:val="009054FD"/>
    <w:rsid w:val="00920E6F"/>
    <w:rsid w:val="009211CF"/>
    <w:rsid w:val="00925CB9"/>
    <w:rsid w:val="00926FDA"/>
    <w:rsid w:val="00927695"/>
    <w:rsid w:val="00930945"/>
    <w:rsid w:val="009309D6"/>
    <w:rsid w:val="009316F0"/>
    <w:rsid w:val="00933810"/>
    <w:rsid w:val="00934C04"/>
    <w:rsid w:val="00941DF8"/>
    <w:rsid w:val="00942124"/>
    <w:rsid w:val="00944A7C"/>
    <w:rsid w:val="00946015"/>
    <w:rsid w:val="009574CF"/>
    <w:rsid w:val="00961DDF"/>
    <w:rsid w:val="00962B7D"/>
    <w:rsid w:val="0096338B"/>
    <w:rsid w:val="0096340F"/>
    <w:rsid w:val="00963E87"/>
    <w:rsid w:val="00980B9E"/>
    <w:rsid w:val="009917B5"/>
    <w:rsid w:val="00993028"/>
    <w:rsid w:val="009935A1"/>
    <w:rsid w:val="009969F0"/>
    <w:rsid w:val="00996C93"/>
    <w:rsid w:val="009A1D6A"/>
    <w:rsid w:val="009A231B"/>
    <w:rsid w:val="009B6148"/>
    <w:rsid w:val="009B61CE"/>
    <w:rsid w:val="009C0855"/>
    <w:rsid w:val="009C1751"/>
    <w:rsid w:val="009C4959"/>
    <w:rsid w:val="009D3031"/>
    <w:rsid w:val="009D47D4"/>
    <w:rsid w:val="009D611B"/>
    <w:rsid w:val="009E2BE1"/>
    <w:rsid w:val="009E37E1"/>
    <w:rsid w:val="009E3D45"/>
    <w:rsid w:val="009E5120"/>
    <w:rsid w:val="009F0D8A"/>
    <w:rsid w:val="009F4D45"/>
    <w:rsid w:val="009F6EC2"/>
    <w:rsid w:val="00A00CCF"/>
    <w:rsid w:val="00A02BB6"/>
    <w:rsid w:val="00A03EDF"/>
    <w:rsid w:val="00A04612"/>
    <w:rsid w:val="00A07D7C"/>
    <w:rsid w:val="00A1078B"/>
    <w:rsid w:val="00A116D3"/>
    <w:rsid w:val="00A133CF"/>
    <w:rsid w:val="00A1405D"/>
    <w:rsid w:val="00A142E3"/>
    <w:rsid w:val="00A14960"/>
    <w:rsid w:val="00A14E52"/>
    <w:rsid w:val="00A2242C"/>
    <w:rsid w:val="00A24CA0"/>
    <w:rsid w:val="00A256A1"/>
    <w:rsid w:val="00A277A5"/>
    <w:rsid w:val="00A27FE5"/>
    <w:rsid w:val="00A3075F"/>
    <w:rsid w:val="00A31AC1"/>
    <w:rsid w:val="00A33D50"/>
    <w:rsid w:val="00A36683"/>
    <w:rsid w:val="00A36C76"/>
    <w:rsid w:val="00A419F1"/>
    <w:rsid w:val="00A43824"/>
    <w:rsid w:val="00A44898"/>
    <w:rsid w:val="00A6060C"/>
    <w:rsid w:val="00A61EA7"/>
    <w:rsid w:val="00A62768"/>
    <w:rsid w:val="00A63A52"/>
    <w:rsid w:val="00A66B23"/>
    <w:rsid w:val="00A67AF8"/>
    <w:rsid w:val="00A706C0"/>
    <w:rsid w:val="00A709F9"/>
    <w:rsid w:val="00A71F1F"/>
    <w:rsid w:val="00A72973"/>
    <w:rsid w:val="00A74458"/>
    <w:rsid w:val="00A93AD5"/>
    <w:rsid w:val="00A94FD8"/>
    <w:rsid w:val="00A97578"/>
    <w:rsid w:val="00A97958"/>
    <w:rsid w:val="00AA58C1"/>
    <w:rsid w:val="00AA6C82"/>
    <w:rsid w:val="00AB6DEE"/>
    <w:rsid w:val="00AC16A7"/>
    <w:rsid w:val="00AC194A"/>
    <w:rsid w:val="00AC2391"/>
    <w:rsid w:val="00AC70DD"/>
    <w:rsid w:val="00AD29AE"/>
    <w:rsid w:val="00AD36C2"/>
    <w:rsid w:val="00AD5539"/>
    <w:rsid w:val="00AD697A"/>
    <w:rsid w:val="00AE0EA0"/>
    <w:rsid w:val="00AE6993"/>
    <w:rsid w:val="00AE7267"/>
    <w:rsid w:val="00AF1991"/>
    <w:rsid w:val="00AF674F"/>
    <w:rsid w:val="00AF75FA"/>
    <w:rsid w:val="00AF7CF8"/>
    <w:rsid w:val="00B0009B"/>
    <w:rsid w:val="00B17527"/>
    <w:rsid w:val="00B17E67"/>
    <w:rsid w:val="00B2079F"/>
    <w:rsid w:val="00B2259C"/>
    <w:rsid w:val="00B230DD"/>
    <w:rsid w:val="00B26719"/>
    <w:rsid w:val="00B2736D"/>
    <w:rsid w:val="00B35384"/>
    <w:rsid w:val="00B35650"/>
    <w:rsid w:val="00B35DB1"/>
    <w:rsid w:val="00B36438"/>
    <w:rsid w:val="00B41CA5"/>
    <w:rsid w:val="00B45166"/>
    <w:rsid w:val="00B45F61"/>
    <w:rsid w:val="00B53290"/>
    <w:rsid w:val="00B53A62"/>
    <w:rsid w:val="00B6238D"/>
    <w:rsid w:val="00B626AF"/>
    <w:rsid w:val="00B63875"/>
    <w:rsid w:val="00B65206"/>
    <w:rsid w:val="00B65301"/>
    <w:rsid w:val="00B657C5"/>
    <w:rsid w:val="00B678C3"/>
    <w:rsid w:val="00B67D0D"/>
    <w:rsid w:val="00B70307"/>
    <w:rsid w:val="00B7094E"/>
    <w:rsid w:val="00B71610"/>
    <w:rsid w:val="00B71A54"/>
    <w:rsid w:val="00B7332D"/>
    <w:rsid w:val="00B76A91"/>
    <w:rsid w:val="00B76CD1"/>
    <w:rsid w:val="00B777EC"/>
    <w:rsid w:val="00B81A2D"/>
    <w:rsid w:val="00B8432B"/>
    <w:rsid w:val="00B91805"/>
    <w:rsid w:val="00B95657"/>
    <w:rsid w:val="00BA0A89"/>
    <w:rsid w:val="00BA1B82"/>
    <w:rsid w:val="00BA2DB4"/>
    <w:rsid w:val="00BA382E"/>
    <w:rsid w:val="00BB59A8"/>
    <w:rsid w:val="00BB611F"/>
    <w:rsid w:val="00BB6639"/>
    <w:rsid w:val="00BB75AB"/>
    <w:rsid w:val="00BB7B81"/>
    <w:rsid w:val="00BC199F"/>
    <w:rsid w:val="00BC32CD"/>
    <w:rsid w:val="00BC3E04"/>
    <w:rsid w:val="00BD26D8"/>
    <w:rsid w:val="00BD2BDF"/>
    <w:rsid w:val="00BD630A"/>
    <w:rsid w:val="00BE10EC"/>
    <w:rsid w:val="00BE1FB7"/>
    <w:rsid w:val="00BE2AF4"/>
    <w:rsid w:val="00BE5A86"/>
    <w:rsid w:val="00BF262A"/>
    <w:rsid w:val="00BF29B7"/>
    <w:rsid w:val="00BF6FC1"/>
    <w:rsid w:val="00BF7348"/>
    <w:rsid w:val="00C002B4"/>
    <w:rsid w:val="00C00BC2"/>
    <w:rsid w:val="00C01BEA"/>
    <w:rsid w:val="00C02941"/>
    <w:rsid w:val="00C12157"/>
    <w:rsid w:val="00C138FA"/>
    <w:rsid w:val="00C15C95"/>
    <w:rsid w:val="00C16253"/>
    <w:rsid w:val="00C20E87"/>
    <w:rsid w:val="00C21D1F"/>
    <w:rsid w:val="00C239F1"/>
    <w:rsid w:val="00C246FB"/>
    <w:rsid w:val="00C25710"/>
    <w:rsid w:val="00C26CD4"/>
    <w:rsid w:val="00C30435"/>
    <w:rsid w:val="00C325C7"/>
    <w:rsid w:val="00C32BD8"/>
    <w:rsid w:val="00C33573"/>
    <w:rsid w:val="00C34808"/>
    <w:rsid w:val="00C36EA0"/>
    <w:rsid w:val="00C36F0C"/>
    <w:rsid w:val="00C36F5A"/>
    <w:rsid w:val="00C4059C"/>
    <w:rsid w:val="00C41045"/>
    <w:rsid w:val="00C4697D"/>
    <w:rsid w:val="00C50733"/>
    <w:rsid w:val="00C50AD2"/>
    <w:rsid w:val="00C51F70"/>
    <w:rsid w:val="00C52909"/>
    <w:rsid w:val="00C7361C"/>
    <w:rsid w:val="00C73DF0"/>
    <w:rsid w:val="00C73EA8"/>
    <w:rsid w:val="00C7412C"/>
    <w:rsid w:val="00C74B9C"/>
    <w:rsid w:val="00C77E6B"/>
    <w:rsid w:val="00C8198A"/>
    <w:rsid w:val="00C90E87"/>
    <w:rsid w:val="00C96869"/>
    <w:rsid w:val="00CA0CF3"/>
    <w:rsid w:val="00CA688D"/>
    <w:rsid w:val="00CA7141"/>
    <w:rsid w:val="00CB1013"/>
    <w:rsid w:val="00CB3D1E"/>
    <w:rsid w:val="00CB4978"/>
    <w:rsid w:val="00CB61BD"/>
    <w:rsid w:val="00CB6F06"/>
    <w:rsid w:val="00CB72DE"/>
    <w:rsid w:val="00CC7C2A"/>
    <w:rsid w:val="00CD3A17"/>
    <w:rsid w:val="00CD7660"/>
    <w:rsid w:val="00CE35F8"/>
    <w:rsid w:val="00CE7073"/>
    <w:rsid w:val="00CE711B"/>
    <w:rsid w:val="00CF1E31"/>
    <w:rsid w:val="00CF3794"/>
    <w:rsid w:val="00CF44D0"/>
    <w:rsid w:val="00CF6F6E"/>
    <w:rsid w:val="00CF744D"/>
    <w:rsid w:val="00D006B3"/>
    <w:rsid w:val="00D007DF"/>
    <w:rsid w:val="00D0266A"/>
    <w:rsid w:val="00D03D19"/>
    <w:rsid w:val="00D0479D"/>
    <w:rsid w:val="00D055B3"/>
    <w:rsid w:val="00D10C50"/>
    <w:rsid w:val="00D155CC"/>
    <w:rsid w:val="00D20948"/>
    <w:rsid w:val="00D213D8"/>
    <w:rsid w:val="00D25B50"/>
    <w:rsid w:val="00D26095"/>
    <w:rsid w:val="00D27436"/>
    <w:rsid w:val="00D34C3E"/>
    <w:rsid w:val="00D363F1"/>
    <w:rsid w:val="00D43162"/>
    <w:rsid w:val="00D4356D"/>
    <w:rsid w:val="00D4479A"/>
    <w:rsid w:val="00D4701F"/>
    <w:rsid w:val="00D53054"/>
    <w:rsid w:val="00D53FCA"/>
    <w:rsid w:val="00D63DA4"/>
    <w:rsid w:val="00D64FB3"/>
    <w:rsid w:val="00D66462"/>
    <w:rsid w:val="00D668E8"/>
    <w:rsid w:val="00D7173E"/>
    <w:rsid w:val="00D73130"/>
    <w:rsid w:val="00D73A48"/>
    <w:rsid w:val="00D74178"/>
    <w:rsid w:val="00D768D7"/>
    <w:rsid w:val="00D769C4"/>
    <w:rsid w:val="00D8061E"/>
    <w:rsid w:val="00D81082"/>
    <w:rsid w:val="00D82F78"/>
    <w:rsid w:val="00D84E75"/>
    <w:rsid w:val="00D85E51"/>
    <w:rsid w:val="00D8608F"/>
    <w:rsid w:val="00D94278"/>
    <w:rsid w:val="00D9472D"/>
    <w:rsid w:val="00D94E1C"/>
    <w:rsid w:val="00D96FB9"/>
    <w:rsid w:val="00DA163A"/>
    <w:rsid w:val="00DA1898"/>
    <w:rsid w:val="00DA3941"/>
    <w:rsid w:val="00DA7BEA"/>
    <w:rsid w:val="00DB032D"/>
    <w:rsid w:val="00DB09C8"/>
    <w:rsid w:val="00DB101C"/>
    <w:rsid w:val="00DB5273"/>
    <w:rsid w:val="00DB5484"/>
    <w:rsid w:val="00DB5EB5"/>
    <w:rsid w:val="00DB6A1A"/>
    <w:rsid w:val="00DB6D70"/>
    <w:rsid w:val="00DC0388"/>
    <w:rsid w:val="00DC1832"/>
    <w:rsid w:val="00DC5071"/>
    <w:rsid w:val="00DC5E3C"/>
    <w:rsid w:val="00DC659C"/>
    <w:rsid w:val="00DC7777"/>
    <w:rsid w:val="00DD19AA"/>
    <w:rsid w:val="00DD218C"/>
    <w:rsid w:val="00DD4871"/>
    <w:rsid w:val="00DD6D37"/>
    <w:rsid w:val="00DD7B74"/>
    <w:rsid w:val="00DE12FA"/>
    <w:rsid w:val="00DE528A"/>
    <w:rsid w:val="00DF0E52"/>
    <w:rsid w:val="00DF364B"/>
    <w:rsid w:val="00E005C6"/>
    <w:rsid w:val="00E020E1"/>
    <w:rsid w:val="00E024DC"/>
    <w:rsid w:val="00E04923"/>
    <w:rsid w:val="00E04E8A"/>
    <w:rsid w:val="00E05238"/>
    <w:rsid w:val="00E05262"/>
    <w:rsid w:val="00E12CED"/>
    <w:rsid w:val="00E1407E"/>
    <w:rsid w:val="00E14090"/>
    <w:rsid w:val="00E240A8"/>
    <w:rsid w:val="00E26486"/>
    <w:rsid w:val="00E35131"/>
    <w:rsid w:val="00E37230"/>
    <w:rsid w:val="00E422ED"/>
    <w:rsid w:val="00E44F44"/>
    <w:rsid w:val="00E463EB"/>
    <w:rsid w:val="00E50F7A"/>
    <w:rsid w:val="00E516F7"/>
    <w:rsid w:val="00E53083"/>
    <w:rsid w:val="00E57F98"/>
    <w:rsid w:val="00E614EC"/>
    <w:rsid w:val="00E624C3"/>
    <w:rsid w:val="00E62914"/>
    <w:rsid w:val="00E66171"/>
    <w:rsid w:val="00E80E36"/>
    <w:rsid w:val="00E81DBD"/>
    <w:rsid w:val="00E83473"/>
    <w:rsid w:val="00E841E5"/>
    <w:rsid w:val="00E86022"/>
    <w:rsid w:val="00E90100"/>
    <w:rsid w:val="00E90296"/>
    <w:rsid w:val="00E96C8D"/>
    <w:rsid w:val="00EA21CF"/>
    <w:rsid w:val="00EA3034"/>
    <w:rsid w:val="00EA36BD"/>
    <w:rsid w:val="00EA745F"/>
    <w:rsid w:val="00EB1AB4"/>
    <w:rsid w:val="00EB5B17"/>
    <w:rsid w:val="00EB72D6"/>
    <w:rsid w:val="00EC6D9D"/>
    <w:rsid w:val="00ED01A2"/>
    <w:rsid w:val="00ED0FA2"/>
    <w:rsid w:val="00ED123C"/>
    <w:rsid w:val="00ED2C6E"/>
    <w:rsid w:val="00ED7CCB"/>
    <w:rsid w:val="00EE002C"/>
    <w:rsid w:val="00EE0F4E"/>
    <w:rsid w:val="00EE29E4"/>
    <w:rsid w:val="00EE2BBE"/>
    <w:rsid w:val="00EE2D89"/>
    <w:rsid w:val="00EE7148"/>
    <w:rsid w:val="00EF0E8D"/>
    <w:rsid w:val="00EF1CFC"/>
    <w:rsid w:val="00EF214F"/>
    <w:rsid w:val="00EF3D32"/>
    <w:rsid w:val="00EF54B7"/>
    <w:rsid w:val="00EF77D8"/>
    <w:rsid w:val="00F0040E"/>
    <w:rsid w:val="00F00562"/>
    <w:rsid w:val="00F04D2B"/>
    <w:rsid w:val="00F05FDA"/>
    <w:rsid w:val="00F114E8"/>
    <w:rsid w:val="00F11C2F"/>
    <w:rsid w:val="00F13928"/>
    <w:rsid w:val="00F14D46"/>
    <w:rsid w:val="00F155DA"/>
    <w:rsid w:val="00F20DAA"/>
    <w:rsid w:val="00F20F4E"/>
    <w:rsid w:val="00F219A8"/>
    <w:rsid w:val="00F262C9"/>
    <w:rsid w:val="00F2798D"/>
    <w:rsid w:val="00F27B64"/>
    <w:rsid w:val="00F34803"/>
    <w:rsid w:val="00F43694"/>
    <w:rsid w:val="00F449DF"/>
    <w:rsid w:val="00F45DDE"/>
    <w:rsid w:val="00F5275E"/>
    <w:rsid w:val="00F52ABE"/>
    <w:rsid w:val="00F54F00"/>
    <w:rsid w:val="00F55E37"/>
    <w:rsid w:val="00F60096"/>
    <w:rsid w:val="00F6324E"/>
    <w:rsid w:val="00F64E07"/>
    <w:rsid w:val="00F65284"/>
    <w:rsid w:val="00F67C3A"/>
    <w:rsid w:val="00F72521"/>
    <w:rsid w:val="00F73C89"/>
    <w:rsid w:val="00F765C7"/>
    <w:rsid w:val="00F77263"/>
    <w:rsid w:val="00F85FA3"/>
    <w:rsid w:val="00F86254"/>
    <w:rsid w:val="00F96DF2"/>
    <w:rsid w:val="00FA33C4"/>
    <w:rsid w:val="00FA4CF5"/>
    <w:rsid w:val="00FB7756"/>
    <w:rsid w:val="00FC2F59"/>
    <w:rsid w:val="00FC3A96"/>
    <w:rsid w:val="00FC3C18"/>
    <w:rsid w:val="00FC3CB9"/>
    <w:rsid w:val="00FC3FBE"/>
    <w:rsid w:val="00FC5F00"/>
    <w:rsid w:val="00FC6DD3"/>
    <w:rsid w:val="00FC6E5F"/>
    <w:rsid w:val="00FE0CBE"/>
    <w:rsid w:val="00FE367D"/>
    <w:rsid w:val="00FE71F9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78B5-9166-436B-A689-13EA61F0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2021-03-31T05:14:00Z</dcterms:created>
  <dcterms:modified xsi:type="dcterms:W3CDTF">2022-04-14T05:35:00Z</dcterms:modified>
</cp:coreProperties>
</file>